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4E031" w14:textId="0132C41F" w:rsidR="0040011E" w:rsidRPr="0040011E" w:rsidRDefault="0040011E" w:rsidP="0040011E">
      <w:pPr>
        <w:rPr>
          <w:b/>
          <w:bCs/>
          <w:lang w:bidi="pl-PL"/>
        </w:rPr>
      </w:pPr>
      <w:bookmarkStart w:id="0" w:name="_Toc188882614"/>
      <w:r w:rsidRPr="0040011E">
        <w:rPr>
          <w:rFonts w:ascii="Lato" w:hAnsi="Lato"/>
          <w:b/>
          <w:bCs/>
          <w:u w:val="single"/>
        </w:rPr>
        <w:t>Załącznik nr 3 do Wniosku o objęcie przedsięwzięcia wsparciem</w:t>
      </w:r>
    </w:p>
    <w:p w14:paraId="45951C74" w14:textId="3F20D129" w:rsidR="005D2503" w:rsidRPr="0040011E" w:rsidRDefault="005D2503" w:rsidP="0040011E">
      <w:pPr>
        <w:rPr>
          <w:rFonts w:ascii="Lato" w:hAnsi="Lato"/>
          <w:b/>
          <w:bCs/>
          <w:sz w:val="22"/>
          <w:szCs w:val="22"/>
          <w:lang w:bidi="pl-PL"/>
        </w:rPr>
      </w:pPr>
      <w:r w:rsidRPr="0040011E">
        <w:rPr>
          <w:rFonts w:ascii="Lato" w:hAnsi="Lato"/>
          <w:b/>
          <w:bCs/>
          <w:sz w:val="22"/>
          <w:szCs w:val="22"/>
          <w:lang w:bidi="pl-PL"/>
        </w:rPr>
        <w:t xml:space="preserve">Ankieta weryfikacji dojrzałości </w:t>
      </w:r>
      <w:r w:rsidR="0059024C" w:rsidRPr="0040011E">
        <w:rPr>
          <w:rFonts w:ascii="Lato" w:hAnsi="Lato"/>
          <w:b/>
          <w:bCs/>
          <w:sz w:val="22"/>
          <w:szCs w:val="22"/>
          <w:lang w:bidi="pl-PL"/>
        </w:rPr>
        <w:t>w zakresie</w:t>
      </w:r>
      <w:r w:rsidRPr="0040011E">
        <w:rPr>
          <w:rFonts w:ascii="Lato" w:hAnsi="Lato"/>
          <w:b/>
          <w:bCs/>
          <w:sz w:val="22"/>
          <w:szCs w:val="22"/>
          <w:lang w:bidi="pl-PL"/>
        </w:rPr>
        <w:t xml:space="preserve"> cyberbezpieczeństwa</w:t>
      </w:r>
      <w:bookmarkEnd w:id="0"/>
      <w:r w:rsidRPr="0040011E">
        <w:rPr>
          <w:rFonts w:ascii="Lato" w:hAnsi="Lato"/>
          <w:b/>
          <w:bCs/>
          <w:sz w:val="22"/>
          <w:szCs w:val="22"/>
          <w:lang w:bidi="pl-PL"/>
        </w:rPr>
        <w:t xml:space="preserve"> </w:t>
      </w:r>
    </w:p>
    <w:p w14:paraId="04717552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2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System kopii zapasowych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5765"/>
        <w:gridCol w:w="1258"/>
        <w:gridCol w:w="1567"/>
      </w:tblGrid>
      <w:tr w:rsidR="005D2503" w:rsidRPr="00CB3392" w14:paraId="5D36BB40" w14:textId="77777777" w:rsidTr="007A6FCE">
        <w:trPr>
          <w:tblHeader/>
          <w:jc w:val="center"/>
        </w:trPr>
        <w:tc>
          <w:tcPr>
            <w:tcW w:w="0" w:type="auto"/>
          </w:tcPr>
          <w:p w14:paraId="0FAE82D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0" w:type="auto"/>
          </w:tcPr>
          <w:p w14:paraId="34DE207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0" w:type="auto"/>
          </w:tcPr>
          <w:p w14:paraId="48911F9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0275EF4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0" w:type="auto"/>
          </w:tcPr>
          <w:p w14:paraId="016A11B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69E9D0DC" w14:textId="77777777" w:rsidTr="003D1E31">
        <w:trPr>
          <w:jc w:val="center"/>
        </w:trPr>
        <w:tc>
          <w:tcPr>
            <w:tcW w:w="0" w:type="auto"/>
          </w:tcPr>
          <w:p w14:paraId="17BA7D4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0" w:type="auto"/>
          </w:tcPr>
          <w:p w14:paraId="6865F81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>Wdrożony system tworzy odmiejscowione kopie zapasowe. System posiada aktualne wsparcie producenta oraz wykonuje kopie kluczowych systemów podmiotu.</w:t>
            </w:r>
          </w:p>
        </w:tc>
        <w:tc>
          <w:tcPr>
            <w:tcW w:w="0" w:type="auto"/>
          </w:tcPr>
          <w:p w14:paraId="2AEC8E7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502300F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60EEEA61" w14:textId="77777777" w:rsidTr="003D1E31">
        <w:trPr>
          <w:jc w:val="center"/>
        </w:trPr>
        <w:tc>
          <w:tcPr>
            <w:tcW w:w="0" w:type="auto"/>
          </w:tcPr>
          <w:p w14:paraId="49FE77C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0" w:type="auto"/>
          </w:tcPr>
          <w:p w14:paraId="4246617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>Infrastruktura systemu backupu jest odseparowana od systemu produkcyjnego</w:t>
            </w:r>
          </w:p>
        </w:tc>
        <w:tc>
          <w:tcPr>
            <w:tcW w:w="0" w:type="auto"/>
          </w:tcPr>
          <w:p w14:paraId="2116E1D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05E2980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786DACA9" w14:textId="77777777" w:rsidTr="003D1E31">
        <w:trPr>
          <w:jc w:val="center"/>
        </w:trPr>
        <w:tc>
          <w:tcPr>
            <w:tcW w:w="0" w:type="auto"/>
            <w:vAlign w:val="center"/>
          </w:tcPr>
          <w:p w14:paraId="48A2810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0" w:type="auto"/>
            <w:vAlign w:val="center"/>
          </w:tcPr>
          <w:p w14:paraId="1D3CB1B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Przeprowadzono testy odtworzenia systemu i potwierdzono skuteczność/poprawność odtworzenia</w:t>
            </w:r>
          </w:p>
        </w:tc>
        <w:tc>
          <w:tcPr>
            <w:tcW w:w="0" w:type="auto"/>
            <w:vAlign w:val="center"/>
          </w:tcPr>
          <w:p w14:paraId="3C79F6C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2DFDB0A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6EDC8CB6" w14:textId="77777777" w:rsidTr="003D1E31">
        <w:trPr>
          <w:jc w:val="center"/>
        </w:trPr>
        <w:tc>
          <w:tcPr>
            <w:tcW w:w="0" w:type="auto"/>
            <w:vAlign w:val="center"/>
          </w:tcPr>
          <w:p w14:paraId="2285B4A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0" w:type="auto"/>
            <w:vAlign w:val="center"/>
          </w:tcPr>
          <w:p w14:paraId="7E6F20E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Podmiot posiada dokumentację powdrożeniową systemu backupu.</w:t>
            </w:r>
          </w:p>
        </w:tc>
        <w:tc>
          <w:tcPr>
            <w:tcW w:w="0" w:type="auto"/>
            <w:vAlign w:val="center"/>
          </w:tcPr>
          <w:p w14:paraId="084D783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F0A72A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50C5B58B" w14:textId="77777777" w:rsidTr="003D1E31">
        <w:trPr>
          <w:jc w:val="center"/>
        </w:trPr>
        <w:tc>
          <w:tcPr>
            <w:tcW w:w="0" w:type="auto"/>
            <w:vAlign w:val="center"/>
          </w:tcPr>
          <w:p w14:paraId="1E0F167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0" w:type="auto"/>
            <w:vAlign w:val="center"/>
          </w:tcPr>
          <w:p w14:paraId="43DE49F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Administratorzy systemu backupu podmiotu odbyli instruktaż z obsługi systemu kopii zapasowych.</w:t>
            </w:r>
          </w:p>
        </w:tc>
        <w:tc>
          <w:tcPr>
            <w:tcW w:w="0" w:type="auto"/>
            <w:vAlign w:val="center"/>
          </w:tcPr>
          <w:p w14:paraId="41C88E6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460BE10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479D798C" w14:textId="77777777" w:rsidTr="003D1E31">
        <w:trPr>
          <w:jc w:val="center"/>
        </w:trPr>
        <w:tc>
          <w:tcPr>
            <w:tcW w:w="0" w:type="auto"/>
            <w:vAlign w:val="center"/>
          </w:tcPr>
          <w:p w14:paraId="4BD27F1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0" w:type="auto"/>
            <w:vAlign w:val="center"/>
          </w:tcPr>
          <w:p w14:paraId="6561ACC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Wdrożono procedury backupowe oraz odtworzeniowe i procedury te są stosowane. </w:t>
            </w:r>
          </w:p>
        </w:tc>
        <w:tc>
          <w:tcPr>
            <w:tcW w:w="0" w:type="auto"/>
            <w:vAlign w:val="center"/>
          </w:tcPr>
          <w:p w14:paraId="6F2D526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38C062D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7E8C6D34" w14:textId="77777777" w:rsidTr="003D1E31">
        <w:trPr>
          <w:jc w:val="center"/>
        </w:trPr>
        <w:tc>
          <w:tcPr>
            <w:tcW w:w="0" w:type="auto"/>
            <w:vAlign w:val="center"/>
          </w:tcPr>
          <w:p w14:paraId="7F4CD1B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7.</w:t>
            </w:r>
          </w:p>
        </w:tc>
        <w:tc>
          <w:tcPr>
            <w:tcW w:w="0" w:type="auto"/>
            <w:vAlign w:val="center"/>
          </w:tcPr>
          <w:p w14:paraId="41163BD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Tworzone są i weryfikowane raporty z cyklicznego wykonywania odmiejscowionej kopii zapasowej.</w:t>
            </w:r>
            <w:r w:rsidRPr="00BF01AA" w:rsidDel="00DD1F28">
              <w:rPr>
                <w:rFonts w:ascii="Lato" w:hAnsi="Lato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D0353C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53B269A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771D472A" w14:textId="77777777" w:rsidTr="003D1E31">
        <w:trPr>
          <w:jc w:val="center"/>
        </w:trPr>
        <w:tc>
          <w:tcPr>
            <w:tcW w:w="0" w:type="auto"/>
            <w:vAlign w:val="center"/>
          </w:tcPr>
          <w:p w14:paraId="6C466AE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8.</w:t>
            </w:r>
          </w:p>
        </w:tc>
        <w:tc>
          <w:tcPr>
            <w:tcW w:w="0" w:type="auto"/>
            <w:vAlign w:val="center"/>
          </w:tcPr>
          <w:p w14:paraId="648052C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Podmiot cyklicznie odtwarza dane z kopii zapasowych w celu weryfikacji poprawności. Odtworzenia testowe potwierdzone są protokołem.</w:t>
            </w:r>
          </w:p>
        </w:tc>
        <w:tc>
          <w:tcPr>
            <w:tcW w:w="0" w:type="auto"/>
            <w:vAlign w:val="center"/>
          </w:tcPr>
          <w:p w14:paraId="29F43F9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A38262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394006A7" w14:textId="77777777" w:rsidR="005D2503" w:rsidRPr="00BF01AA" w:rsidRDefault="005D2503" w:rsidP="005D250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lastRenderedPageBreak/>
        <w:t>Kryteria akceptacji do oceny przy audycie końcowym w obszarze cyberbezpieczeństwa:</w:t>
      </w:r>
    </w:p>
    <w:p w14:paraId="684BF9D3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Zestawienie wszystkich kluczowych i pomocniczych systemów objętych systemem kopii zapasowych – dla zakupu sprzętu i oprogramowania oraz usług wdrożeniowych.</w:t>
      </w:r>
    </w:p>
    <w:p w14:paraId="45BC0698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 zawierający wymagania dotyczące częstotliwości wykonywania kopii zapasowych – dla zakupu sprzętu i oprogramowania oraz usług wdrożeniowych.</w:t>
      </w:r>
    </w:p>
    <w:p w14:paraId="5955C11F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Kompletna dokumentacja wdrożonego rozwiązania systemu kopii zapasowych w szczególności zestaw procedur wykonywania, odtworzenia (w tym cyklicznych testów), zabezpieczenia odmiejscowionej kopii, monitoringu i weryfikacji poprawności działania systemu, zarządzania uprawnieniami i dostępem do systemu – dla zakupu sprzętu i oprogramowania oraz usług wdrożeniowych.</w:t>
      </w:r>
    </w:p>
    <w:p w14:paraId="49DE9C2D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Raport z testów funkcjonalnych i niefunkcjonalnych działania systemu backupu – dla zakupu sprzętu i oprogramowania oraz usług wdrożeniowych.</w:t>
      </w:r>
    </w:p>
    <w:p w14:paraId="7C1A42FC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systemu kopii zapasowej – w zakresie usług szkoleniowych.</w:t>
      </w:r>
    </w:p>
    <w:p w14:paraId="1688B92E" w14:textId="1B50F433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</w:t>
      </w:r>
      <w:r w:rsidR="00F5005D">
        <w:rPr>
          <w:rFonts w:ascii="Lato" w:hAnsi="Lato"/>
        </w:rPr>
        <w:t>i</w:t>
      </w:r>
      <w:r w:rsidRPr="00BF01AA">
        <w:rPr>
          <w:rFonts w:ascii="Lato" w:hAnsi="Lato"/>
        </w:rPr>
        <w:t xml:space="preserve"> testu potwierdzającego skutecznoś</w:t>
      </w:r>
      <w:r w:rsidR="00432336">
        <w:rPr>
          <w:rFonts w:ascii="Lato" w:hAnsi="Lato"/>
        </w:rPr>
        <w:t xml:space="preserve">ć  </w:t>
      </w:r>
      <w:r w:rsidRPr="00BF01AA">
        <w:rPr>
          <w:rFonts w:ascii="Lato" w:hAnsi="Lato"/>
        </w:rPr>
        <w:t>wprowadzonych zabezpieczeń i potwierdzającego zgodność konfiguracji z dokumentacją – dla usług testów bezpieczeństwa.</w:t>
      </w:r>
    </w:p>
    <w:p w14:paraId="1634E877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</w:t>
      </w:r>
    </w:p>
    <w:p w14:paraId="7992D60B" w14:textId="307ED06B" w:rsidR="007A6FCE" w:rsidRDefault="005D2503" w:rsidP="007A6FCE">
      <w:pPr>
        <w:pStyle w:val="Akapitzlist"/>
        <w:keepNext/>
        <w:keepLines/>
        <w:numPr>
          <w:ilvl w:val="0"/>
          <w:numId w:val="2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Zapory sieciowe</w:t>
      </w:r>
    </w:p>
    <w:p w14:paraId="1E004C19" w14:textId="77777777" w:rsidR="007A6FCE" w:rsidRPr="007A6FCE" w:rsidRDefault="007A6FCE" w:rsidP="007A6FCE">
      <w:pPr>
        <w:pStyle w:val="Akapitzlist"/>
        <w:keepNext/>
        <w:keepLines/>
        <w:spacing w:beforeAutospacing="1" w:after="100" w:afterAutospacing="1" w:line="240" w:lineRule="auto"/>
        <w:ind w:left="714"/>
        <w:contextualSpacing w:val="0"/>
        <w:jc w:val="both"/>
        <w:rPr>
          <w:rFonts w:ascii="Lato" w:hAnsi="Lato"/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5777"/>
        <w:gridCol w:w="1243"/>
        <w:gridCol w:w="1552"/>
      </w:tblGrid>
      <w:tr w:rsidR="005D2503" w:rsidRPr="00CB3392" w14:paraId="79E0B25A" w14:textId="77777777" w:rsidTr="007A6FCE">
        <w:trPr>
          <w:tblHeader/>
          <w:jc w:val="center"/>
        </w:trPr>
        <w:tc>
          <w:tcPr>
            <w:tcW w:w="0" w:type="auto"/>
          </w:tcPr>
          <w:p w14:paraId="13B4A7C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0" w:type="auto"/>
          </w:tcPr>
          <w:p w14:paraId="1494C75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0" w:type="auto"/>
          </w:tcPr>
          <w:p w14:paraId="2AB05D3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4AF44C6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0" w:type="auto"/>
          </w:tcPr>
          <w:p w14:paraId="19234A2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jc w:val="center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47669C3E" w14:textId="77777777" w:rsidTr="003D1E31">
        <w:trPr>
          <w:jc w:val="center"/>
        </w:trPr>
        <w:tc>
          <w:tcPr>
            <w:tcW w:w="0" w:type="auto"/>
          </w:tcPr>
          <w:p w14:paraId="3C270E0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0" w:type="auto"/>
          </w:tcPr>
          <w:p w14:paraId="4151C23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moduł ochrony przed złośliwym oprogramowaniem dla ruchu z/do Internetu, posiadający aktualne wsparcie.</w:t>
            </w:r>
          </w:p>
        </w:tc>
        <w:tc>
          <w:tcPr>
            <w:tcW w:w="0" w:type="auto"/>
          </w:tcPr>
          <w:p w14:paraId="789571A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83514A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3A729D97" w14:textId="77777777" w:rsidTr="003D1E31">
        <w:trPr>
          <w:jc w:val="center"/>
        </w:trPr>
        <w:tc>
          <w:tcPr>
            <w:tcW w:w="0" w:type="auto"/>
          </w:tcPr>
          <w:p w14:paraId="4684D23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0" w:type="auto"/>
          </w:tcPr>
          <w:p w14:paraId="70822E3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i włączono moduł IPS/IDS przynajmniej dla ruchu z/do Internetu, posiadający aktualne wsparcie.</w:t>
            </w:r>
          </w:p>
        </w:tc>
        <w:tc>
          <w:tcPr>
            <w:tcW w:w="0" w:type="auto"/>
          </w:tcPr>
          <w:p w14:paraId="4D34262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64A8CAA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5E0EC247" w14:textId="77777777" w:rsidTr="003D1E31">
        <w:trPr>
          <w:jc w:val="center"/>
        </w:trPr>
        <w:tc>
          <w:tcPr>
            <w:tcW w:w="0" w:type="auto"/>
          </w:tcPr>
          <w:p w14:paraId="5A14838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0" w:type="auto"/>
          </w:tcPr>
          <w:p w14:paraId="6007559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i włączono moduły filtrowania zawartości oraz reguły filtrowania po kategorii treści.</w:t>
            </w:r>
          </w:p>
        </w:tc>
        <w:tc>
          <w:tcPr>
            <w:tcW w:w="0" w:type="auto"/>
          </w:tcPr>
          <w:p w14:paraId="146B89D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7C943DA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276670E1" w14:textId="77777777" w:rsidTr="003D1E31">
        <w:trPr>
          <w:jc w:val="center"/>
        </w:trPr>
        <w:tc>
          <w:tcPr>
            <w:tcW w:w="0" w:type="auto"/>
          </w:tcPr>
          <w:p w14:paraId="7740130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</w:t>
            </w:r>
          </w:p>
        </w:tc>
        <w:tc>
          <w:tcPr>
            <w:tcW w:w="0" w:type="auto"/>
          </w:tcPr>
          <w:p w14:paraId="7027E430" w14:textId="77777777" w:rsidR="005D2503" w:rsidRPr="00BF01AA" w:rsidDel="00F6730C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Na brzegu sieci zainstalowany Firewall, a sama sieć podzielona jest na podsieci.</w:t>
            </w:r>
          </w:p>
        </w:tc>
        <w:tc>
          <w:tcPr>
            <w:tcW w:w="0" w:type="auto"/>
          </w:tcPr>
          <w:p w14:paraId="4569F90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0D844C0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122B8516" w14:textId="77777777" w:rsidTr="003D1E31">
        <w:trPr>
          <w:jc w:val="center"/>
        </w:trPr>
        <w:tc>
          <w:tcPr>
            <w:tcW w:w="0" w:type="auto"/>
          </w:tcPr>
          <w:p w14:paraId="20053FA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0" w:type="auto"/>
          </w:tcPr>
          <w:p w14:paraId="0466DFC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Kluczowe aplikacje/systemy, w szczególności dostępne publicznie chronione są za pomocą firewalla aplikacyjnego (WAF) z włączonymi modułami ochrony aplikacji, ochrony DoS/DDoS.</w:t>
            </w:r>
          </w:p>
        </w:tc>
        <w:tc>
          <w:tcPr>
            <w:tcW w:w="0" w:type="auto"/>
          </w:tcPr>
          <w:p w14:paraId="79A48CE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38BEFE3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351120" w:rsidRPr="00CB3392" w14:paraId="7F3C3547" w14:textId="77777777" w:rsidTr="003D1E31">
        <w:trPr>
          <w:jc w:val="center"/>
        </w:trPr>
        <w:tc>
          <w:tcPr>
            <w:tcW w:w="0" w:type="auto"/>
          </w:tcPr>
          <w:p w14:paraId="03FD14E6" w14:textId="72F91ED2" w:rsidR="00351120" w:rsidRPr="00BF01AA" w:rsidRDefault="00351120" w:rsidP="00351120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0" w:type="auto"/>
          </w:tcPr>
          <w:p w14:paraId="1F175CC0" w14:textId="5A20446A" w:rsidR="00351120" w:rsidRPr="00BF01AA" w:rsidRDefault="00351120" w:rsidP="00351120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>
              <w:rPr>
                <w:rFonts w:ascii="Lato" w:hAnsi="Lato"/>
              </w:rPr>
              <w:t>Pliki pobierane z sieci Internet podlegają analizie w izolowanych środowiskach typu Sandbox.</w:t>
            </w:r>
          </w:p>
        </w:tc>
        <w:tc>
          <w:tcPr>
            <w:tcW w:w="0" w:type="auto"/>
          </w:tcPr>
          <w:p w14:paraId="5E4DF722" w14:textId="77777777" w:rsidR="00351120" w:rsidRPr="00BF01AA" w:rsidRDefault="00351120" w:rsidP="00351120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700EB4D5" w14:textId="22ED8687" w:rsidR="00351120" w:rsidRPr="00BF01AA" w:rsidRDefault="00351120" w:rsidP="00351120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5074FB78" w14:textId="77777777" w:rsidTr="003D1E31">
        <w:trPr>
          <w:jc w:val="center"/>
        </w:trPr>
        <w:tc>
          <w:tcPr>
            <w:tcW w:w="0" w:type="auto"/>
          </w:tcPr>
          <w:p w14:paraId="2A9D4F32" w14:textId="1A2DB15C" w:rsidR="005D2503" w:rsidRPr="00BF01AA" w:rsidRDefault="00351120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7</w:t>
            </w:r>
            <w:r w:rsidR="005D250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6FF3FF7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Domyślne hasła przekazane przy odbiorze zostały zmienione i objęte procedurą zarządzania hasłami w organizacji.</w:t>
            </w:r>
          </w:p>
        </w:tc>
        <w:tc>
          <w:tcPr>
            <w:tcW w:w="0" w:type="auto"/>
          </w:tcPr>
          <w:p w14:paraId="7E9C4AF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4CF43A7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52AB8E18" w14:textId="77777777" w:rsidTr="003D1E31">
        <w:trPr>
          <w:jc w:val="center"/>
        </w:trPr>
        <w:tc>
          <w:tcPr>
            <w:tcW w:w="0" w:type="auto"/>
          </w:tcPr>
          <w:p w14:paraId="32E00290" w14:textId="3D69AFB5" w:rsidR="005D2503" w:rsidRPr="00BF01AA" w:rsidRDefault="00351120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8</w:t>
            </w:r>
            <w:r w:rsidR="005D250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56CF0B3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Nieużywane porty, usługi oraz konta zostały wyłączone.</w:t>
            </w:r>
          </w:p>
        </w:tc>
        <w:tc>
          <w:tcPr>
            <w:tcW w:w="0" w:type="auto"/>
          </w:tcPr>
          <w:p w14:paraId="5FEEA3C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610D34B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42B06EFD" w14:textId="77777777" w:rsidTr="003D1E31">
        <w:trPr>
          <w:jc w:val="center"/>
        </w:trPr>
        <w:tc>
          <w:tcPr>
            <w:tcW w:w="0" w:type="auto"/>
          </w:tcPr>
          <w:p w14:paraId="1A770B1C" w14:textId="34B5CCF2" w:rsidR="005D2503" w:rsidRPr="00BF01AA" w:rsidRDefault="00351120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9</w:t>
            </w:r>
            <w:r w:rsidR="005D250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63F1E339" w14:textId="77777777" w:rsidR="005D2503" w:rsidRPr="00BF01AA" w:rsidRDefault="005D2503" w:rsidP="003D1E31">
            <w:pPr>
              <w:pStyle w:val="Akapitzlist"/>
              <w:tabs>
                <w:tab w:val="center" w:pos="4074"/>
              </w:tabs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Dostęp do panelu zarządzania zaporą sieciowy został ograniczony jedynie dla wyznaczonych osób zgodnie z obowiązującą procedurą nadawania uprawnień oraz dostępny jest wyłącznie z wybranej podsieci.</w:t>
            </w:r>
          </w:p>
        </w:tc>
        <w:tc>
          <w:tcPr>
            <w:tcW w:w="0" w:type="auto"/>
          </w:tcPr>
          <w:p w14:paraId="51A6E86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0B2FC54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2AE892AA" w14:textId="77777777" w:rsidTr="003D1E31">
        <w:trPr>
          <w:jc w:val="center"/>
        </w:trPr>
        <w:tc>
          <w:tcPr>
            <w:tcW w:w="0" w:type="auto"/>
          </w:tcPr>
          <w:p w14:paraId="059EC837" w14:textId="38E1C429" w:rsidR="005D2503" w:rsidRPr="00BF01AA" w:rsidRDefault="00351120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10</w:t>
            </w:r>
            <w:r w:rsidR="005D2503" w:rsidRPr="00BF01AA">
              <w:rPr>
                <w:rFonts w:ascii="Lato" w:hAnsi="Lato"/>
                <w:b/>
                <w:bCs/>
              </w:rPr>
              <w:t>.</w:t>
            </w:r>
          </w:p>
        </w:tc>
        <w:tc>
          <w:tcPr>
            <w:tcW w:w="0" w:type="auto"/>
          </w:tcPr>
          <w:p w14:paraId="3773937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Wdrożona została procedura cyklicznego wykonywania kopii zapasowych konfiguracji urządzenia (lub po każdej zmianie reguł i wersji) .Procedura ta jest stosowana.</w:t>
            </w:r>
          </w:p>
        </w:tc>
        <w:tc>
          <w:tcPr>
            <w:tcW w:w="0" w:type="auto"/>
          </w:tcPr>
          <w:p w14:paraId="67ECF98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092D537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3EE10F0E" w14:textId="77777777" w:rsidTr="003D1E31">
        <w:trPr>
          <w:jc w:val="center"/>
        </w:trPr>
        <w:tc>
          <w:tcPr>
            <w:tcW w:w="0" w:type="auto"/>
          </w:tcPr>
          <w:p w14:paraId="374F5CB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lastRenderedPageBreak/>
              <w:t>10.</w:t>
            </w:r>
          </w:p>
        </w:tc>
        <w:tc>
          <w:tcPr>
            <w:tcW w:w="0" w:type="auto"/>
          </w:tcPr>
          <w:p w14:paraId="7AA409C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Administratorzy posiadają kompetencje w postaci odbytego instruktażu stanowiskowego i/lub odbytych szkoleń z obsługi dedykowanego systemu Firewall.</w:t>
            </w:r>
          </w:p>
        </w:tc>
        <w:tc>
          <w:tcPr>
            <w:tcW w:w="0" w:type="auto"/>
          </w:tcPr>
          <w:p w14:paraId="0219085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0" w:type="auto"/>
          </w:tcPr>
          <w:p w14:paraId="1560D53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5B0B55AA" w14:textId="77777777" w:rsidR="005D2503" w:rsidRPr="00BF01AA" w:rsidRDefault="005D2503" w:rsidP="005D2503">
      <w:pPr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5CE242D5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Dokumentacja powykonawcza wdrożonych zapór sieciowych wraz z zabezpieczeniami – dla zakupu sprzętu i oprogramowania oraz usług wdrożeniowych.</w:t>
      </w:r>
    </w:p>
    <w:p w14:paraId="6F2ACAAE" w14:textId="3E8632D6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</w:t>
      </w:r>
      <w:r w:rsidR="007045D2">
        <w:rPr>
          <w:rFonts w:ascii="Lato" w:hAnsi="Lato"/>
        </w:rPr>
        <w:t>i</w:t>
      </w:r>
      <w:r w:rsidRPr="00BF01AA">
        <w:rPr>
          <w:rFonts w:ascii="Lato" w:hAnsi="Lato"/>
        </w:rPr>
        <w:t xml:space="preserve"> testu potwierdzającego skutecznoś</w:t>
      </w:r>
      <w:r w:rsidR="00432336">
        <w:rPr>
          <w:rFonts w:ascii="Lato" w:hAnsi="Lato"/>
        </w:rPr>
        <w:t>ć</w:t>
      </w:r>
      <w:r w:rsidRPr="00BF01AA">
        <w:rPr>
          <w:rFonts w:ascii="Lato" w:hAnsi="Lato"/>
        </w:rPr>
        <w:t xml:space="preserve"> wprowadzonych zabezpieczeń i potwierdzającego zgodność konfiguracji z dokumentacją – dla usług testów bezpieczeństwa.</w:t>
      </w:r>
    </w:p>
    <w:p w14:paraId="57AE653A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zainstalowanych zapór sieciowych – dla usług szkoleniowych.</w:t>
      </w:r>
    </w:p>
    <w:p w14:paraId="586E5130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1B2D8697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2"/>
        </w:numPr>
        <w:spacing w:beforeAutospacing="1" w:after="100" w:afterAutospacing="1" w:line="240" w:lineRule="auto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Ochrona poczty e-mail</w:t>
      </w:r>
    </w:p>
    <w:p w14:paraId="3C9114C4" w14:textId="77777777" w:rsidR="005D2503" w:rsidRPr="00BF01AA" w:rsidRDefault="005D2503" w:rsidP="005D2503">
      <w:pPr>
        <w:pStyle w:val="Akapitzlist"/>
        <w:keepNext/>
        <w:keepLines/>
        <w:spacing w:beforeAutospacing="1" w:after="100" w:afterAutospacing="1" w:line="240" w:lineRule="auto"/>
        <w:jc w:val="both"/>
        <w:rPr>
          <w:rFonts w:ascii="Lato" w:hAnsi="Lato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0"/>
        <w:gridCol w:w="5916"/>
        <w:gridCol w:w="1182"/>
        <w:gridCol w:w="1485"/>
      </w:tblGrid>
      <w:tr w:rsidR="005D2503" w:rsidRPr="00CB3392" w14:paraId="1FFAF88C" w14:textId="77777777" w:rsidTr="007A6FCE">
        <w:trPr>
          <w:tblHeader/>
        </w:trPr>
        <w:tc>
          <w:tcPr>
            <w:tcW w:w="265" w:type="pct"/>
          </w:tcPr>
          <w:p w14:paraId="24D668B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507CE3B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6238C12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36565DD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2A5BD4A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1BC13694" w14:textId="77777777" w:rsidTr="003D1E31">
        <w:tc>
          <w:tcPr>
            <w:tcW w:w="265" w:type="pct"/>
          </w:tcPr>
          <w:p w14:paraId="7A1DC47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6306C62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 xml:space="preserve">Wdrożono mechanizmy ochrony poczty </w:t>
            </w:r>
            <w:r w:rsidRPr="00BF01AA">
              <w:rPr>
                <w:rFonts w:ascii="Lato" w:hAnsi="Lato"/>
              </w:rPr>
              <w:t>SPF, DMARC, DKIM.</w:t>
            </w:r>
          </w:p>
        </w:tc>
        <w:tc>
          <w:tcPr>
            <w:tcW w:w="652" w:type="pct"/>
          </w:tcPr>
          <w:p w14:paraId="15EC6D3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A26561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3335F1C8" w14:textId="77777777" w:rsidTr="003D1E31">
        <w:tc>
          <w:tcPr>
            <w:tcW w:w="265" w:type="pct"/>
          </w:tcPr>
          <w:p w14:paraId="5E57822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5E295A2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Cs/>
              </w:rPr>
            </w:pPr>
            <w:r w:rsidRPr="00BF01AA">
              <w:rPr>
                <w:rFonts w:ascii="Lato" w:hAnsi="Lato"/>
                <w:bCs/>
              </w:rPr>
              <w:t>Wdrożono ochronę</w:t>
            </w:r>
            <w:r w:rsidRPr="00BF01AA">
              <w:rPr>
                <w:rFonts w:ascii="Lato" w:hAnsi="Lato"/>
              </w:rPr>
              <w:t xml:space="preserve"> antyspam oraz ochronę przed złośliwym oprogramowaniem, z aktualnym wsparciem producenta i aktualnymi sygnaturami.</w:t>
            </w:r>
          </w:p>
        </w:tc>
        <w:tc>
          <w:tcPr>
            <w:tcW w:w="652" w:type="pct"/>
          </w:tcPr>
          <w:p w14:paraId="73745C4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52055FB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2570AF66" w14:textId="77777777" w:rsidTr="003D1E31">
        <w:tc>
          <w:tcPr>
            <w:tcW w:w="265" w:type="pct"/>
          </w:tcPr>
          <w:p w14:paraId="37895AA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2B66853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Przeprowadzono testy wdrożonych mechanizmów ochrony poczty, które potwierdziły poprawne ich działanie.</w:t>
            </w:r>
          </w:p>
        </w:tc>
        <w:tc>
          <w:tcPr>
            <w:tcW w:w="652" w:type="pct"/>
          </w:tcPr>
          <w:p w14:paraId="171167B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1C3F3E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42CB72C9" w14:textId="77777777" w:rsidTr="003D1E31">
        <w:tc>
          <w:tcPr>
            <w:tcW w:w="265" w:type="pct"/>
          </w:tcPr>
          <w:p w14:paraId="6F05A4A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468AC19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obowiązkowy drugi składnik uwierzytelniający (2FA) dla poczty dostępnej z sieci publicznej.</w:t>
            </w:r>
          </w:p>
        </w:tc>
        <w:tc>
          <w:tcPr>
            <w:tcW w:w="652" w:type="pct"/>
          </w:tcPr>
          <w:p w14:paraId="54324BD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893A27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4A056826" w14:textId="77777777" w:rsidTr="003D1E31">
        <w:tc>
          <w:tcPr>
            <w:tcW w:w="265" w:type="pct"/>
          </w:tcPr>
          <w:p w14:paraId="11FF698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64" w:type="pct"/>
          </w:tcPr>
          <w:p w14:paraId="0E80381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Uwierzytelnianie do poczty dostępnej publicznie jest zgodne ze standardem FIDO2.</w:t>
            </w:r>
          </w:p>
        </w:tc>
        <w:tc>
          <w:tcPr>
            <w:tcW w:w="652" w:type="pct"/>
          </w:tcPr>
          <w:p w14:paraId="67F467E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641EBF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72625068" w14:textId="77777777" w:rsidTr="003D1E31">
        <w:tc>
          <w:tcPr>
            <w:tcW w:w="265" w:type="pct"/>
          </w:tcPr>
          <w:p w14:paraId="4C794D5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64" w:type="pct"/>
          </w:tcPr>
          <w:p w14:paraId="64993D7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zasady bezpiecznego wykorzystania poczty w organizacji.</w:t>
            </w:r>
          </w:p>
        </w:tc>
        <w:tc>
          <w:tcPr>
            <w:tcW w:w="652" w:type="pct"/>
          </w:tcPr>
          <w:p w14:paraId="65D84B9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5D974C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6256ACB6" w14:textId="77777777" w:rsidTr="003D1E31">
        <w:tc>
          <w:tcPr>
            <w:tcW w:w="265" w:type="pct"/>
          </w:tcPr>
          <w:p w14:paraId="40B39C9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7.</w:t>
            </w:r>
          </w:p>
        </w:tc>
        <w:tc>
          <w:tcPr>
            <w:tcW w:w="3264" w:type="pct"/>
          </w:tcPr>
          <w:p w14:paraId="458C368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Wiadomości przychodzące z zewnątrz oznaczane są dedykowanym banerem.</w:t>
            </w:r>
          </w:p>
        </w:tc>
        <w:tc>
          <w:tcPr>
            <w:tcW w:w="652" w:type="pct"/>
          </w:tcPr>
          <w:p w14:paraId="2F14F72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525A03F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59A1D4C3" w14:textId="77777777" w:rsidTr="003D1E31">
        <w:tc>
          <w:tcPr>
            <w:tcW w:w="265" w:type="pct"/>
          </w:tcPr>
          <w:p w14:paraId="322CB2B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8.</w:t>
            </w:r>
          </w:p>
        </w:tc>
        <w:tc>
          <w:tcPr>
            <w:tcW w:w="3264" w:type="pct"/>
          </w:tcPr>
          <w:p w14:paraId="77D1B05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Administratorzy posiadają kompetencje w postaci odbytego instruktażu stanowiskowego z obsługi dedykowanego systemu lub usługi.</w:t>
            </w:r>
          </w:p>
        </w:tc>
        <w:tc>
          <w:tcPr>
            <w:tcW w:w="652" w:type="pct"/>
          </w:tcPr>
          <w:p w14:paraId="4267A00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C71ED1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72DE83FB" w14:textId="77777777" w:rsidTr="003D1E31">
        <w:tc>
          <w:tcPr>
            <w:tcW w:w="265" w:type="pct"/>
          </w:tcPr>
          <w:p w14:paraId="306C204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9.</w:t>
            </w:r>
          </w:p>
        </w:tc>
        <w:tc>
          <w:tcPr>
            <w:tcW w:w="3264" w:type="pct"/>
          </w:tcPr>
          <w:p w14:paraId="3F1ED25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Kopia bezpieczeństwa poczty jest regularnie wykonywana.</w:t>
            </w:r>
          </w:p>
        </w:tc>
        <w:tc>
          <w:tcPr>
            <w:tcW w:w="652" w:type="pct"/>
          </w:tcPr>
          <w:p w14:paraId="1C77C38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993B6F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5D7A301D" w14:textId="77777777" w:rsidR="005D2503" w:rsidRPr="00BF01AA" w:rsidRDefault="005D2503" w:rsidP="005D2503">
      <w:pPr>
        <w:pStyle w:val="Akapitzlist"/>
        <w:keepNext/>
        <w:keepLines/>
        <w:spacing w:beforeAutospacing="1" w:after="100" w:afterAutospacing="1"/>
        <w:ind w:left="0"/>
        <w:contextualSpacing w:val="0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lastRenderedPageBreak/>
        <w:t>Kryteria akceptacji do oceny przy audycie końcowym w obszarze cyberbezpieczeństwa:</w:t>
      </w:r>
    </w:p>
    <w:p w14:paraId="3394B329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Opis sposobu ochrony poczty wraz z dokumentacją systemów ochrony poczty</w:t>
      </w:r>
    </w:p>
    <w:p w14:paraId="6AA9F193" w14:textId="2311203C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Protok</w:t>
      </w:r>
      <w:r w:rsidR="007045D2">
        <w:rPr>
          <w:rFonts w:ascii="Lato" w:hAnsi="Lato"/>
        </w:rPr>
        <w:t>ó</w:t>
      </w:r>
      <w:r w:rsidRPr="00BF01AA">
        <w:rPr>
          <w:rFonts w:ascii="Lato" w:hAnsi="Lato"/>
        </w:rPr>
        <w:t>ł z testów, który opisuje wyniki testów wdrożonych polityk ochrony poczty</w:t>
      </w:r>
      <w:r w:rsidR="007810EA">
        <w:rPr>
          <w:rFonts w:ascii="Lato" w:hAnsi="Lato"/>
        </w:rPr>
        <w:t xml:space="preserve"> w</w:t>
      </w:r>
      <w:r w:rsidRPr="00BF01AA">
        <w:rPr>
          <w:rFonts w:ascii="Lato" w:hAnsi="Lato"/>
        </w:rPr>
        <w:t xml:space="preserve"> tym weryfikację mechanizmów (SPF, DMARC, DKIM) ochrony poczty elektronicznej przy pomocy portalu CERT Polska https://bezpiecznapoczta.cert.pl/</w:t>
      </w:r>
    </w:p>
    <w:p w14:paraId="14A591C3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 testu potwierdzającego wdrożenie obowiązkowego drugiego składnika uwierzytelniającego (2FA) dla poczty elektronicznej dostępnej publicznie.</w:t>
      </w:r>
    </w:p>
    <w:p w14:paraId="2ED594E5" w14:textId="43188513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Raport z wykonania backupu poczty elektronicznej wraz</w:t>
      </w:r>
      <w:r w:rsidR="00600491">
        <w:rPr>
          <w:rFonts w:ascii="Lato" w:hAnsi="Lato"/>
        </w:rPr>
        <w:t xml:space="preserve"> z</w:t>
      </w:r>
      <w:r w:rsidRPr="00BF01AA">
        <w:rPr>
          <w:rFonts w:ascii="Lato" w:hAnsi="Lato"/>
        </w:rPr>
        <w:t xml:space="preserve"> testowym odtworzeniem. </w:t>
      </w:r>
    </w:p>
    <w:p w14:paraId="52BDF1BA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Raport zawierający informacje o aktualizacji systemu pocztowego wraz z jego ochroną</w:t>
      </w:r>
    </w:p>
    <w:p w14:paraId="5BEF52EC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2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Segmentacja sieci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0"/>
        <w:gridCol w:w="5916"/>
        <w:gridCol w:w="1182"/>
        <w:gridCol w:w="1485"/>
      </w:tblGrid>
      <w:tr w:rsidR="005D2503" w:rsidRPr="00CB3392" w14:paraId="1A7C924C" w14:textId="77777777" w:rsidTr="007A6FCE">
        <w:trPr>
          <w:tblHeader/>
        </w:trPr>
        <w:tc>
          <w:tcPr>
            <w:tcW w:w="265" w:type="pct"/>
          </w:tcPr>
          <w:p w14:paraId="074D063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30F46E0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2C2EF58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208D880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70A8E59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766F0782" w14:textId="77777777" w:rsidTr="003D1E31">
        <w:tc>
          <w:tcPr>
            <w:tcW w:w="265" w:type="pct"/>
          </w:tcPr>
          <w:p w14:paraId="3805292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39098CB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segmentację sieciową (na poziomie VLANów) zapewniającą odseparowanie sieci biurowej, systemów serwerowych, systemu kopii zapasowych, urządzeń medycznych, sieci gościnnej.</w:t>
            </w:r>
          </w:p>
        </w:tc>
        <w:tc>
          <w:tcPr>
            <w:tcW w:w="652" w:type="pct"/>
          </w:tcPr>
          <w:p w14:paraId="3E67715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173E6E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5E0F2FE8" w14:textId="77777777" w:rsidTr="003D1E31">
        <w:tc>
          <w:tcPr>
            <w:tcW w:w="265" w:type="pct"/>
          </w:tcPr>
          <w:p w14:paraId="1C7FF84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7464343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reguły bezpieczeństwa pomiędzy segmentami sieci oparte na zasadzie minimalnego niezbędnego dostępu.</w:t>
            </w:r>
          </w:p>
        </w:tc>
        <w:tc>
          <w:tcPr>
            <w:tcW w:w="652" w:type="pct"/>
          </w:tcPr>
          <w:p w14:paraId="433461A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B92E95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614A1E70" w14:textId="77777777" w:rsidTr="003D1E31">
        <w:tc>
          <w:tcPr>
            <w:tcW w:w="265" w:type="pct"/>
          </w:tcPr>
          <w:p w14:paraId="07ADCE0C" w14:textId="77777777" w:rsidR="005D2503" w:rsidRPr="00BF01AA" w:rsidDel="00B32CEB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31C6520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Dokumentacja architektury sieciowej jest sporządzona i aktualizowana.</w:t>
            </w:r>
          </w:p>
        </w:tc>
        <w:tc>
          <w:tcPr>
            <w:tcW w:w="652" w:type="pct"/>
          </w:tcPr>
          <w:p w14:paraId="20452B0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88FD77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695DF236" w14:textId="77777777" w:rsidTr="003D1E31">
        <w:tc>
          <w:tcPr>
            <w:tcW w:w="265" w:type="pct"/>
          </w:tcPr>
          <w:p w14:paraId="737E949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5A173FE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Wszystkie podłączane do sieci urządzenia są identyfikowane, uwierzytelniane oraz autoryzowane.</w:t>
            </w:r>
          </w:p>
        </w:tc>
        <w:tc>
          <w:tcPr>
            <w:tcW w:w="652" w:type="pct"/>
          </w:tcPr>
          <w:p w14:paraId="48FB025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6095AEC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5421E220" w14:textId="77777777" w:rsidR="005D2503" w:rsidRPr="00BF01AA" w:rsidRDefault="005D2503" w:rsidP="005D2503">
      <w:pPr>
        <w:pStyle w:val="Akapitzlist"/>
        <w:keepNext/>
        <w:keepLines/>
        <w:spacing w:beforeAutospacing="1" w:after="100" w:afterAutospacing="1"/>
        <w:ind w:left="0"/>
        <w:contextualSpacing w:val="0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32ECBDAB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 zawierający wymagania dotyczące podziału sieci wraz ze sposobem implementacji – dla zakupu sprzętu, oprogramowania oraz usług wdrożeniowych.</w:t>
      </w:r>
    </w:p>
    <w:p w14:paraId="3F350D02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Dokumentacja sposobu identyfikowania, uwierzytelniania i autoryzacji urządzeń podłączanych do sieci – dla zakupu oprogramowania.</w:t>
      </w:r>
    </w:p>
    <w:p w14:paraId="7140CEEE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 weryfikacji zgodności konfiguracji z dokumentacją– dla zakupu sprzętu, oprogramowania oraz usług wdrożeniowych.</w:t>
      </w:r>
    </w:p>
    <w:p w14:paraId="5E4F6C0E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zainstalowanych systemów ochrony sieciowej – dla usług szkoleniowych</w:t>
      </w:r>
    </w:p>
    <w:p w14:paraId="27F14EFF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6F70546A" w14:textId="2542FDC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Wyniki testu potwierdzającego skutecznoś</w:t>
      </w:r>
      <w:r w:rsidR="00432336">
        <w:rPr>
          <w:rFonts w:ascii="Lato" w:hAnsi="Lato"/>
        </w:rPr>
        <w:t>ć</w:t>
      </w:r>
      <w:r w:rsidRPr="00BF01AA">
        <w:rPr>
          <w:rFonts w:ascii="Lato" w:hAnsi="Lato"/>
        </w:rPr>
        <w:t xml:space="preserve"> wprowadzonych zabezpieczeń i potwierdzającego zgodność konfiguracji z dokumentacją – dla usług testów bezpieczeństwa.</w:t>
      </w:r>
    </w:p>
    <w:p w14:paraId="43636729" w14:textId="77777777" w:rsidR="005D2503" w:rsidRPr="00BF01AA" w:rsidRDefault="005D2503" w:rsidP="005D2503">
      <w:pPr>
        <w:pStyle w:val="Akapitzlist"/>
        <w:numPr>
          <w:ilvl w:val="0"/>
          <w:numId w:val="2"/>
        </w:numPr>
        <w:spacing w:beforeAutospacing="1" w:after="100" w:afterAutospacing="1" w:line="278" w:lineRule="auto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Ochrona stacji roboczych oraz serwerów (rozwiązania klasy EDR)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5916"/>
        <w:gridCol w:w="1182"/>
        <w:gridCol w:w="1485"/>
      </w:tblGrid>
      <w:tr w:rsidR="005D2503" w:rsidRPr="00CB3392" w14:paraId="136CBF5B" w14:textId="77777777" w:rsidTr="007A6FCE">
        <w:trPr>
          <w:tblHeader/>
          <w:jc w:val="center"/>
        </w:trPr>
        <w:tc>
          <w:tcPr>
            <w:tcW w:w="265" w:type="pct"/>
          </w:tcPr>
          <w:p w14:paraId="5779651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bookmarkStart w:id="1" w:name="_Hlk185509758"/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6727EAF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016EB84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0F9FBFB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7E8A1C4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169F1864" w14:textId="77777777" w:rsidTr="003D1E31">
        <w:trPr>
          <w:jc w:val="center"/>
        </w:trPr>
        <w:tc>
          <w:tcPr>
            <w:tcW w:w="265" w:type="pct"/>
          </w:tcPr>
          <w:p w14:paraId="4DF5CE3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69F4EAB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rozwiązanie ochrony przed złośliwym oprogramowaniem z aktualnym wsparciem producenta.</w:t>
            </w:r>
          </w:p>
        </w:tc>
        <w:tc>
          <w:tcPr>
            <w:tcW w:w="652" w:type="pct"/>
          </w:tcPr>
          <w:p w14:paraId="73DE884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B1E5B3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5D2521AC" w14:textId="77777777" w:rsidTr="003D1E31">
        <w:trPr>
          <w:jc w:val="center"/>
        </w:trPr>
        <w:tc>
          <w:tcPr>
            <w:tcW w:w="265" w:type="pct"/>
          </w:tcPr>
          <w:p w14:paraId="7077770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321DA14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rozwiązanie klasy EDR, obejmujące wszystkie wspierane przez producenta oprogramowania stacje robocze oraz serwery.</w:t>
            </w:r>
          </w:p>
        </w:tc>
        <w:tc>
          <w:tcPr>
            <w:tcW w:w="652" w:type="pct"/>
          </w:tcPr>
          <w:p w14:paraId="35C01B7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5EBABA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55098F95" w14:textId="77777777" w:rsidTr="003D1E31">
        <w:trPr>
          <w:jc w:val="center"/>
        </w:trPr>
        <w:tc>
          <w:tcPr>
            <w:tcW w:w="265" w:type="pct"/>
          </w:tcPr>
          <w:p w14:paraId="7489B4E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61EEC21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 xml:space="preserve">Wdrożono rozwiązanie klasy XDR, obejmujące wszystkie wspierane przez producenta oprogramowania stacje robocze i </w:t>
            </w:r>
            <w:r w:rsidRPr="00BF01AA">
              <w:rPr>
                <w:rFonts w:ascii="Lato" w:hAnsi="Lato"/>
              </w:rPr>
              <w:lastRenderedPageBreak/>
              <w:t>serwery oraz zbierające i analizujące dane również z innych źródeł.</w:t>
            </w:r>
          </w:p>
        </w:tc>
        <w:tc>
          <w:tcPr>
            <w:tcW w:w="652" w:type="pct"/>
          </w:tcPr>
          <w:p w14:paraId="1F98A5A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E18B5F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5F551EC5" w14:textId="77777777" w:rsidTr="003D1E31">
        <w:trPr>
          <w:jc w:val="center"/>
        </w:trPr>
        <w:tc>
          <w:tcPr>
            <w:tcW w:w="265" w:type="pct"/>
          </w:tcPr>
          <w:p w14:paraId="6AD6329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365F1D6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Dla serwerów oraz stacji roboczych nieobjętych ochroną została wykonana analiza ryzyka.</w:t>
            </w:r>
          </w:p>
        </w:tc>
        <w:tc>
          <w:tcPr>
            <w:tcW w:w="652" w:type="pct"/>
          </w:tcPr>
          <w:p w14:paraId="79F6BBF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09961FF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0EBC0E6B" w14:textId="77777777" w:rsidTr="003D1E31">
        <w:trPr>
          <w:jc w:val="center"/>
        </w:trPr>
        <w:tc>
          <w:tcPr>
            <w:tcW w:w="265" w:type="pct"/>
          </w:tcPr>
          <w:p w14:paraId="5F8A55D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64" w:type="pct"/>
          </w:tcPr>
          <w:p w14:paraId="590AFC2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Osoby administrujące systemami ochrony stacji i serwerów posiadają odpowiednie kompetencje potwierdzone odbytym szkoleniem.</w:t>
            </w:r>
          </w:p>
        </w:tc>
        <w:tc>
          <w:tcPr>
            <w:tcW w:w="652" w:type="pct"/>
          </w:tcPr>
          <w:p w14:paraId="1577699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11A730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bookmarkEnd w:id="1"/>
    <w:p w14:paraId="5F81D2CB" w14:textId="77777777" w:rsidR="005D2503" w:rsidRPr="00BF01AA" w:rsidRDefault="005D2503" w:rsidP="005D250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1280B13B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Dokumentacja powykonawcza wdrożonego rozwiązania, potwierdzająca zastosowanie polityk bezpieczeństwa oraz wdrożenie agentów rozwiązania na stacjach roboczych oraz serwerach – dla zakupu sprzętu i oprogramowania oraz usług wdrożeniowych.</w:t>
      </w:r>
    </w:p>
    <w:p w14:paraId="6E1BE518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3F30C08E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na szkoleniach z zakresu obsługi systemu – dla usług szkoleniowych.</w:t>
      </w:r>
    </w:p>
    <w:p w14:paraId="4C57E4B9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3"/>
        </w:numPr>
        <w:spacing w:beforeAutospacing="1" w:after="100" w:afterAutospacing="1" w:line="240" w:lineRule="auto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Zarządzanie podatnościami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5916"/>
        <w:gridCol w:w="1182"/>
        <w:gridCol w:w="1485"/>
      </w:tblGrid>
      <w:tr w:rsidR="005D2503" w:rsidRPr="00CB3392" w14:paraId="28C5828F" w14:textId="77777777" w:rsidTr="007A6FCE">
        <w:trPr>
          <w:tblHeader/>
          <w:jc w:val="center"/>
        </w:trPr>
        <w:tc>
          <w:tcPr>
            <w:tcW w:w="265" w:type="pct"/>
          </w:tcPr>
          <w:p w14:paraId="62EE5E9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6DAF37A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75F693A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0F8B37E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6AED32D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3A0817F5" w14:textId="77777777" w:rsidTr="003D1E31">
        <w:trPr>
          <w:jc w:val="center"/>
        </w:trPr>
        <w:tc>
          <w:tcPr>
            <w:tcW w:w="265" w:type="pct"/>
          </w:tcPr>
          <w:p w14:paraId="3C2E710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5CB2110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system automatycznego (sieciowego i/lub agentowego) skanowania i identyfikacji podatności.</w:t>
            </w:r>
          </w:p>
        </w:tc>
        <w:tc>
          <w:tcPr>
            <w:tcW w:w="652" w:type="pct"/>
          </w:tcPr>
          <w:p w14:paraId="3643EEF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6733672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32BEB9D1" w14:textId="77777777" w:rsidTr="003D1E31">
        <w:trPr>
          <w:jc w:val="center"/>
        </w:trPr>
        <w:tc>
          <w:tcPr>
            <w:tcW w:w="265" w:type="pct"/>
          </w:tcPr>
          <w:p w14:paraId="638BE9F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099BB26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Skanowanie podatności obejmuje przynajmniej kluczowe stacje robocze, serwery oraz urządzenia sieciowe.</w:t>
            </w:r>
          </w:p>
        </w:tc>
        <w:tc>
          <w:tcPr>
            <w:tcW w:w="652" w:type="pct"/>
          </w:tcPr>
          <w:p w14:paraId="3516DA3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8BDC1C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7949C542" w14:textId="77777777" w:rsidTr="003D1E31">
        <w:trPr>
          <w:jc w:val="center"/>
        </w:trPr>
        <w:tc>
          <w:tcPr>
            <w:tcW w:w="265" w:type="pct"/>
          </w:tcPr>
          <w:p w14:paraId="59EB635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364DCC7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Skanowanie podatności obejmuje proces uwierzytelnienia się do poziomu systemu operacyjnego skanowanego hostu.</w:t>
            </w:r>
          </w:p>
        </w:tc>
        <w:tc>
          <w:tcPr>
            <w:tcW w:w="652" w:type="pct"/>
          </w:tcPr>
          <w:p w14:paraId="61AA4B0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5D0DE65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7A1E280B" w14:textId="77777777" w:rsidTr="003D1E31">
        <w:trPr>
          <w:jc w:val="center"/>
        </w:trPr>
        <w:tc>
          <w:tcPr>
            <w:tcW w:w="265" w:type="pct"/>
          </w:tcPr>
          <w:p w14:paraId="1E215D4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010440A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Skanowanie podatności obejmuje ocenę poprawności konfiguracji bezpieczeństwa skanowanego hostu.</w:t>
            </w:r>
          </w:p>
        </w:tc>
        <w:tc>
          <w:tcPr>
            <w:tcW w:w="652" w:type="pct"/>
          </w:tcPr>
          <w:p w14:paraId="1B3090D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13284D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592810D0" w14:textId="77777777" w:rsidTr="003D1E31">
        <w:trPr>
          <w:jc w:val="center"/>
        </w:trPr>
        <w:tc>
          <w:tcPr>
            <w:tcW w:w="265" w:type="pct"/>
          </w:tcPr>
          <w:p w14:paraId="71F3159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64" w:type="pct"/>
          </w:tcPr>
          <w:p w14:paraId="158FE6C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Ocena ryzyka podatności uwzględnia inne czynniki niż system klasyfikacji CVSS.</w:t>
            </w:r>
          </w:p>
        </w:tc>
        <w:tc>
          <w:tcPr>
            <w:tcW w:w="652" w:type="pct"/>
          </w:tcPr>
          <w:p w14:paraId="4C95E8B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E0D8EB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CB3392" w14:paraId="4D10B8EA" w14:textId="77777777" w:rsidTr="003D1E31">
        <w:trPr>
          <w:jc w:val="center"/>
        </w:trPr>
        <w:tc>
          <w:tcPr>
            <w:tcW w:w="265" w:type="pct"/>
          </w:tcPr>
          <w:p w14:paraId="7119E6B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64" w:type="pct"/>
          </w:tcPr>
          <w:p w14:paraId="09B4A43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Ustalono czasy reakcji na zidentyfikowane podatności.</w:t>
            </w:r>
          </w:p>
        </w:tc>
        <w:tc>
          <w:tcPr>
            <w:tcW w:w="652" w:type="pct"/>
          </w:tcPr>
          <w:p w14:paraId="720CB28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6C2B1D5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1592D907" w14:textId="77777777" w:rsidR="005D2503" w:rsidRPr="00BF01AA" w:rsidRDefault="005D2503" w:rsidP="005D250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3D9CAA39" w14:textId="6B36B408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Dokumentacj</w:t>
      </w:r>
      <w:r w:rsidR="00A2476C">
        <w:rPr>
          <w:rFonts w:ascii="Lato" w:hAnsi="Lato"/>
        </w:rPr>
        <w:t>a</w:t>
      </w:r>
      <w:r w:rsidRPr="00BF01AA">
        <w:rPr>
          <w:rFonts w:ascii="Lato" w:hAnsi="Lato"/>
        </w:rPr>
        <w:t xml:space="preserve"> powykonawcz</w:t>
      </w:r>
      <w:r w:rsidR="00A2476C">
        <w:rPr>
          <w:rFonts w:ascii="Lato" w:hAnsi="Lato"/>
        </w:rPr>
        <w:t>a</w:t>
      </w:r>
      <w:r w:rsidRPr="00BF01AA">
        <w:rPr>
          <w:rFonts w:ascii="Lato" w:hAnsi="Lato"/>
        </w:rPr>
        <w:t xml:space="preserve"> wdrożonego i uruchomionego systemu, wskazująca na obszary objęte skanowaniem podatności – dla zakupu oprogramowania lub zakupu wsparcia oraz usług wdrożeniowych.</w:t>
      </w:r>
    </w:p>
    <w:p w14:paraId="3E3B2DE4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w szkoleniach – dla usług szkoleniowych.</w:t>
      </w:r>
    </w:p>
    <w:p w14:paraId="7F5C4DDB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Wyciąg z umowy obejmujący zakres usługi – dla usług utrzymaniowych.</w:t>
      </w:r>
    </w:p>
    <w:p w14:paraId="1323B615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3"/>
        </w:numPr>
        <w:spacing w:beforeAutospacing="1" w:after="100" w:afterAutospacing="1" w:line="240" w:lineRule="auto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System zarządzania bezpieczeństwem informacji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6"/>
        <w:gridCol w:w="5902"/>
        <w:gridCol w:w="1182"/>
        <w:gridCol w:w="1483"/>
      </w:tblGrid>
      <w:tr w:rsidR="005D2503" w:rsidRPr="00CB3392" w14:paraId="5EACC774" w14:textId="77777777" w:rsidTr="007A6FCE">
        <w:trPr>
          <w:tblHeader/>
        </w:trPr>
        <w:tc>
          <w:tcPr>
            <w:tcW w:w="274" w:type="pct"/>
          </w:tcPr>
          <w:p w14:paraId="5C0D104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56" w:type="pct"/>
          </w:tcPr>
          <w:p w14:paraId="7C366D0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4F017B5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06E56B5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2A53749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2FFFC4E6" w14:textId="77777777" w:rsidTr="003D1E31">
        <w:tc>
          <w:tcPr>
            <w:tcW w:w="274" w:type="pct"/>
          </w:tcPr>
          <w:p w14:paraId="256C9DF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56" w:type="pct"/>
          </w:tcPr>
          <w:p w14:paraId="52F59527" w14:textId="3B55FD34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</w:rPr>
              <w:t>Wdrożono politykę zarz</w:t>
            </w:r>
            <w:r w:rsidR="00133567">
              <w:rPr>
                <w:rFonts w:ascii="Lato" w:hAnsi="Lato"/>
              </w:rPr>
              <w:t>ą</w:t>
            </w:r>
            <w:r w:rsidRPr="00BF01AA">
              <w:rPr>
                <w:rFonts w:ascii="Lato" w:hAnsi="Lato"/>
              </w:rPr>
              <w:t>dzania dostępem i uprawnieniami.</w:t>
            </w:r>
          </w:p>
        </w:tc>
        <w:tc>
          <w:tcPr>
            <w:tcW w:w="652" w:type="pct"/>
          </w:tcPr>
          <w:p w14:paraId="3267D36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542524C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5452F37B" w14:textId="77777777" w:rsidTr="003D1E31">
        <w:tc>
          <w:tcPr>
            <w:tcW w:w="274" w:type="pct"/>
          </w:tcPr>
          <w:p w14:paraId="02317BA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lastRenderedPageBreak/>
              <w:t>2.</w:t>
            </w:r>
          </w:p>
        </w:tc>
        <w:tc>
          <w:tcPr>
            <w:tcW w:w="3256" w:type="pct"/>
          </w:tcPr>
          <w:p w14:paraId="3F61962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kryptografii z uwzględnieniem zalecanych dopuszczalnych protokołów szyfrowania.</w:t>
            </w:r>
          </w:p>
        </w:tc>
        <w:tc>
          <w:tcPr>
            <w:tcW w:w="652" w:type="pct"/>
          </w:tcPr>
          <w:p w14:paraId="1DCB146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2DA1B3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4FDC089B" w14:textId="77777777" w:rsidTr="003D1E31">
        <w:tc>
          <w:tcPr>
            <w:tcW w:w="274" w:type="pct"/>
          </w:tcPr>
          <w:p w14:paraId="0D53A21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56" w:type="pct"/>
          </w:tcPr>
          <w:p w14:paraId="5C7EB94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zarządzania podatnościami</w:t>
            </w:r>
          </w:p>
        </w:tc>
        <w:tc>
          <w:tcPr>
            <w:tcW w:w="652" w:type="pct"/>
          </w:tcPr>
          <w:p w14:paraId="0496BFF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64F6B8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2F530F02" w14:textId="77777777" w:rsidTr="003D1E31">
        <w:tc>
          <w:tcPr>
            <w:tcW w:w="274" w:type="pct"/>
          </w:tcPr>
          <w:p w14:paraId="47430CD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56" w:type="pct"/>
          </w:tcPr>
          <w:p w14:paraId="725112A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zarządzania ryzykiem z uwzględnieniem obszaru cyberbezpieczeństwa</w:t>
            </w:r>
          </w:p>
        </w:tc>
        <w:tc>
          <w:tcPr>
            <w:tcW w:w="652" w:type="pct"/>
          </w:tcPr>
          <w:p w14:paraId="2B44D254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0A45B59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6423213F" w14:textId="77777777" w:rsidTr="003D1E31">
        <w:tc>
          <w:tcPr>
            <w:tcW w:w="274" w:type="pct"/>
          </w:tcPr>
          <w:p w14:paraId="2073945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56" w:type="pct"/>
          </w:tcPr>
          <w:p w14:paraId="0D0DEA6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logowania zdarzeń z uwzględnieniem aplikacji, sieci, serwerów, bramy brzegowej, kontrolerem domeny.</w:t>
            </w:r>
          </w:p>
        </w:tc>
        <w:tc>
          <w:tcPr>
            <w:tcW w:w="652" w:type="pct"/>
          </w:tcPr>
          <w:p w14:paraId="69E6385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00D953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6AA53EF0" w14:textId="77777777" w:rsidTr="003D1E31">
        <w:tc>
          <w:tcPr>
            <w:tcW w:w="274" w:type="pct"/>
          </w:tcPr>
          <w:p w14:paraId="32BF50C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56" w:type="pct"/>
          </w:tcPr>
          <w:p w14:paraId="708B4C9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kopii bezpieczeństwa.</w:t>
            </w:r>
          </w:p>
        </w:tc>
        <w:tc>
          <w:tcPr>
            <w:tcW w:w="652" w:type="pct"/>
          </w:tcPr>
          <w:p w14:paraId="2B063CA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952DAE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3BA5F055" w14:textId="77777777" w:rsidTr="003D1E31">
        <w:tc>
          <w:tcPr>
            <w:tcW w:w="274" w:type="pct"/>
          </w:tcPr>
          <w:p w14:paraId="606C67A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7.</w:t>
            </w:r>
          </w:p>
        </w:tc>
        <w:tc>
          <w:tcPr>
            <w:tcW w:w="3256" w:type="pct"/>
          </w:tcPr>
          <w:p w14:paraId="39D19C8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zarządzania incydentami bezpieczeństwa.</w:t>
            </w:r>
          </w:p>
        </w:tc>
        <w:tc>
          <w:tcPr>
            <w:tcW w:w="652" w:type="pct"/>
          </w:tcPr>
          <w:p w14:paraId="396DE01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73AF3C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40D94CB6" w14:textId="77777777" w:rsidTr="003D1E31">
        <w:tc>
          <w:tcPr>
            <w:tcW w:w="274" w:type="pct"/>
          </w:tcPr>
          <w:p w14:paraId="6801AFB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8.</w:t>
            </w:r>
          </w:p>
        </w:tc>
        <w:tc>
          <w:tcPr>
            <w:tcW w:w="3256" w:type="pct"/>
          </w:tcPr>
          <w:p w14:paraId="23BEDA38" w14:textId="52517246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zarz</w:t>
            </w:r>
            <w:r w:rsidR="00133567">
              <w:rPr>
                <w:rFonts w:ascii="Lato" w:hAnsi="Lato"/>
              </w:rPr>
              <w:t>ą</w:t>
            </w:r>
            <w:r w:rsidRPr="00BF01AA">
              <w:rPr>
                <w:rFonts w:ascii="Lato" w:hAnsi="Lato"/>
              </w:rPr>
              <w:t>dzania ciągłością działania.</w:t>
            </w:r>
          </w:p>
        </w:tc>
        <w:tc>
          <w:tcPr>
            <w:tcW w:w="652" w:type="pct"/>
          </w:tcPr>
          <w:p w14:paraId="6BC66EE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699AEF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46FAF33C" w14:textId="77777777" w:rsidTr="003D1E31">
        <w:tc>
          <w:tcPr>
            <w:tcW w:w="274" w:type="pct"/>
          </w:tcPr>
          <w:p w14:paraId="6B60B0F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9.</w:t>
            </w:r>
          </w:p>
        </w:tc>
        <w:tc>
          <w:tcPr>
            <w:tcW w:w="3256" w:type="pct"/>
          </w:tcPr>
          <w:p w14:paraId="7770EAA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Wdrożono politykę ochrony danych osobowych z uwzględnieniem przetwarzania danych medycznych</w:t>
            </w:r>
          </w:p>
        </w:tc>
        <w:tc>
          <w:tcPr>
            <w:tcW w:w="652" w:type="pct"/>
          </w:tcPr>
          <w:p w14:paraId="41E8336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0408218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245231AB" w14:textId="77777777" w:rsidR="005D2503" w:rsidRPr="00BF01AA" w:rsidRDefault="005D2503" w:rsidP="005D250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0048440B" w14:textId="2F56EF44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Oświadczenie osoby uprawnionej do reprezentacji podmiotu, że kierownictwo ustanowiło lub zmodyfikowało System Zarządzania Bezpieczeństwem Informacji, oraz że zostały alokowane zasoby ludzkie i finansowe, niezbędne do je</w:t>
      </w:r>
      <w:r w:rsidR="00504102">
        <w:rPr>
          <w:rFonts w:ascii="Lato" w:hAnsi="Lato"/>
        </w:rPr>
        <w:t>go</w:t>
      </w:r>
      <w:r w:rsidRPr="00BF01AA">
        <w:rPr>
          <w:rFonts w:ascii="Lato" w:hAnsi="Lato"/>
        </w:rPr>
        <w:t xml:space="preserve"> realizacji, monitorowania i okresowych przeglądów.</w:t>
      </w:r>
    </w:p>
    <w:p w14:paraId="6F670215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r w:rsidRPr="00BF01AA">
        <w:rPr>
          <w:rFonts w:ascii="Lato" w:hAnsi="Lato"/>
        </w:rPr>
        <w:t>Lista opracowanej dokumentacji wraz z opisem</w:t>
      </w:r>
    </w:p>
    <w:p w14:paraId="5DC7C049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6"/>
        </w:numPr>
        <w:spacing w:beforeAutospacing="1" w:after="100" w:afterAutospacing="1" w:line="240" w:lineRule="auto"/>
        <w:ind w:left="714" w:hanging="357"/>
        <w:contextualSpacing w:val="0"/>
        <w:jc w:val="both"/>
        <w:rPr>
          <w:rFonts w:ascii="Lato" w:hAnsi="Lato"/>
        </w:rPr>
      </w:pPr>
      <w:bookmarkStart w:id="2" w:name="_Hlk184903418"/>
      <w:r w:rsidRPr="00BF01AA">
        <w:rPr>
          <w:rFonts w:ascii="Lato" w:hAnsi="Lato"/>
        </w:rPr>
        <w:t xml:space="preserve">Potwierdzenie uczestnictwa w szkoleniach </w:t>
      </w:r>
      <w:bookmarkEnd w:id="2"/>
      <w:r w:rsidRPr="00BF01AA">
        <w:rPr>
          <w:rFonts w:ascii="Lato" w:hAnsi="Lato"/>
        </w:rPr>
        <w:t>– dla usług szkoleniowych</w:t>
      </w:r>
    </w:p>
    <w:p w14:paraId="5328A4E2" w14:textId="77777777" w:rsidR="005D2503" w:rsidRPr="00BF01AA" w:rsidRDefault="005D2503" w:rsidP="005D2503">
      <w:pPr>
        <w:pStyle w:val="Akapitzlist"/>
        <w:keepNext/>
        <w:keepLines/>
        <w:numPr>
          <w:ilvl w:val="0"/>
          <w:numId w:val="3"/>
        </w:numPr>
        <w:spacing w:beforeAutospacing="1" w:after="100" w:afterAutospacing="1" w:line="240" w:lineRule="auto"/>
        <w:contextualSpacing w:val="0"/>
        <w:jc w:val="both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Szkolenia z zakresu podnoszenia świadomości w obszarze cyberbezpieczeństwa (cyberhigieny)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72"/>
        <w:gridCol w:w="5939"/>
        <w:gridCol w:w="1189"/>
        <w:gridCol w:w="1463"/>
      </w:tblGrid>
      <w:tr w:rsidR="005D2503" w:rsidRPr="00CB3392" w14:paraId="1FB101E9" w14:textId="77777777" w:rsidTr="007A6FCE">
        <w:trPr>
          <w:tblHeader/>
        </w:trPr>
        <w:tc>
          <w:tcPr>
            <w:tcW w:w="260" w:type="pct"/>
          </w:tcPr>
          <w:p w14:paraId="594A4F5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76" w:type="pct"/>
          </w:tcPr>
          <w:p w14:paraId="12D1886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6" w:type="pct"/>
          </w:tcPr>
          <w:p w14:paraId="0B6AB72E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1802186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07" w:type="pct"/>
          </w:tcPr>
          <w:p w14:paraId="2370210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CB3392" w14:paraId="6FCF1B84" w14:textId="77777777" w:rsidTr="003D1E31">
        <w:tc>
          <w:tcPr>
            <w:tcW w:w="260" w:type="pct"/>
          </w:tcPr>
          <w:p w14:paraId="64A309B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76" w:type="pct"/>
          </w:tcPr>
          <w:p w14:paraId="5DB92CB7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Odbycie szkolenia przez kadrę kierowniczą, w okresie ostatniego roku, minimum w zakresie:</w:t>
            </w:r>
          </w:p>
          <w:p w14:paraId="23F543E5" w14:textId="77777777" w:rsidR="005D2503" w:rsidRPr="00BF01AA" w:rsidRDefault="005D2503" w:rsidP="005D2503">
            <w:pPr>
              <w:pStyle w:val="Akapitzlist"/>
              <w:numPr>
                <w:ilvl w:val="0"/>
                <w:numId w:val="4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Podstaw prawnych w obszarze cyberbezpieczeństwa</w:t>
            </w:r>
          </w:p>
          <w:p w14:paraId="133A72C0" w14:textId="77777777" w:rsidR="005D2503" w:rsidRPr="00BF01AA" w:rsidRDefault="005D2503" w:rsidP="005D2503">
            <w:pPr>
              <w:pStyle w:val="Akapitzlist"/>
              <w:numPr>
                <w:ilvl w:val="0"/>
                <w:numId w:val="4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Typów ataków</w:t>
            </w:r>
          </w:p>
          <w:p w14:paraId="4450D8F6" w14:textId="77777777" w:rsidR="005D2503" w:rsidRPr="00BF01AA" w:rsidRDefault="005D2503" w:rsidP="005D2503">
            <w:pPr>
              <w:pStyle w:val="Akapitzlist"/>
              <w:numPr>
                <w:ilvl w:val="0"/>
                <w:numId w:val="4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Reagowania na incydenty</w:t>
            </w:r>
          </w:p>
          <w:p w14:paraId="6CA02B75" w14:textId="77777777" w:rsidR="005D2503" w:rsidRPr="00BF01AA" w:rsidRDefault="005D2503" w:rsidP="005D2503">
            <w:pPr>
              <w:pStyle w:val="Akapitzlist"/>
              <w:numPr>
                <w:ilvl w:val="0"/>
                <w:numId w:val="4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Wykonywania badań bezpieczeństwa</w:t>
            </w:r>
          </w:p>
          <w:p w14:paraId="57B01C64" w14:textId="77777777" w:rsidR="005D2503" w:rsidRPr="00BF01AA" w:rsidRDefault="005D2503" w:rsidP="005D2503">
            <w:pPr>
              <w:pStyle w:val="Akapitzlist"/>
              <w:numPr>
                <w:ilvl w:val="0"/>
                <w:numId w:val="4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Roli kadry zarządzającej w procesach bezpieczeństwa</w:t>
            </w:r>
          </w:p>
        </w:tc>
        <w:tc>
          <w:tcPr>
            <w:tcW w:w="656" w:type="pct"/>
          </w:tcPr>
          <w:p w14:paraId="1A3E0FF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59F6E57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  <w:tr w:rsidR="005D2503" w:rsidRPr="00CB3392" w14:paraId="66408545" w14:textId="77777777" w:rsidTr="003D1E31">
        <w:tc>
          <w:tcPr>
            <w:tcW w:w="260" w:type="pct"/>
          </w:tcPr>
          <w:p w14:paraId="775F83B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76" w:type="pct"/>
          </w:tcPr>
          <w:p w14:paraId="264E2CB3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Odbycie szkolenia przez kadrę biurową i medyczną – min. 75% pracowników pracujących na systemach informatycznych szpitala, w okresie ostatniego roku, minimum w zakresie:</w:t>
            </w:r>
          </w:p>
          <w:p w14:paraId="2015A1AD" w14:textId="77777777" w:rsidR="005D2503" w:rsidRPr="00BF01AA" w:rsidRDefault="005D2503" w:rsidP="005D2503">
            <w:pPr>
              <w:pStyle w:val="Akapitzlist"/>
              <w:numPr>
                <w:ilvl w:val="0"/>
                <w:numId w:val="5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Podstawowych zasad cyberhigieny</w:t>
            </w:r>
          </w:p>
          <w:p w14:paraId="78E82ABB" w14:textId="77777777" w:rsidR="005D2503" w:rsidRPr="00BF01AA" w:rsidRDefault="005D2503" w:rsidP="005D2503">
            <w:pPr>
              <w:pStyle w:val="Akapitzlist"/>
              <w:numPr>
                <w:ilvl w:val="0"/>
                <w:numId w:val="5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Typów ataków wraz z przykładami</w:t>
            </w:r>
          </w:p>
          <w:p w14:paraId="7DBC53AC" w14:textId="77777777" w:rsidR="005D2503" w:rsidRPr="00BF01AA" w:rsidRDefault="005D2503" w:rsidP="005D2503">
            <w:pPr>
              <w:pStyle w:val="Akapitzlist"/>
              <w:numPr>
                <w:ilvl w:val="0"/>
                <w:numId w:val="5"/>
              </w:numPr>
              <w:spacing w:beforeAutospacing="1" w:after="100" w:afterAutospacing="1" w:line="240" w:lineRule="auto"/>
              <w:jc w:val="both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Reagowania na incydenty</w:t>
            </w:r>
          </w:p>
        </w:tc>
        <w:tc>
          <w:tcPr>
            <w:tcW w:w="656" w:type="pct"/>
          </w:tcPr>
          <w:p w14:paraId="3CE2E48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67669A76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Tak</w:t>
            </w:r>
          </w:p>
        </w:tc>
      </w:tr>
    </w:tbl>
    <w:p w14:paraId="54459131" w14:textId="77777777" w:rsidR="005D2503" w:rsidRPr="00BF01AA" w:rsidRDefault="005D2503" w:rsidP="005D250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0BDFD893" w14:textId="77777777" w:rsidR="005D2503" w:rsidRPr="00BF01AA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Konspekt programu szkoleń</w:t>
      </w:r>
    </w:p>
    <w:p w14:paraId="258435BA" w14:textId="77777777" w:rsidR="005D2503" w:rsidRPr="00BF01AA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w szkoleniach co najmniej 75% pracowników szpitala, pracujących na stacjach roboczych – oświadczenie dyrektora szpitala</w:t>
      </w:r>
    </w:p>
    <w:p w14:paraId="5C0DEE7F" w14:textId="77777777" w:rsidR="005D2503" w:rsidRPr="00BF01AA" w:rsidRDefault="005D2503" w:rsidP="005D2503">
      <w:pPr>
        <w:pStyle w:val="Akapitzlist"/>
        <w:numPr>
          <w:ilvl w:val="0"/>
          <w:numId w:val="3"/>
        </w:numPr>
        <w:spacing w:beforeAutospacing="1" w:after="100" w:afterAutospacing="1" w:line="278" w:lineRule="auto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lastRenderedPageBreak/>
        <w:t>Usługi zarządzane bezpieczeństwa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0"/>
        <w:gridCol w:w="5916"/>
        <w:gridCol w:w="1182"/>
        <w:gridCol w:w="1485"/>
      </w:tblGrid>
      <w:tr w:rsidR="005D2503" w:rsidRPr="00627131" w14:paraId="574F73F1" w14:textId="77777777" w:rsidTr="007A6FCE">
        <w:trPr>
          <w:tblHeader/>
        </w:trPr>
        <w:tc>
          <w:tcPr>
            <w:tcW w:w="265" w:type="pct"/>
          </w:tcPr>
          <w:p w14:paraId="1D83546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64" w:type="pct"/>
          </w:tcPr>
          <w:p w14:paraId="5248E9B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2" w:type="pct"/>
          </w:tcPr>
          <w:p w14:paraId="523A576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233839C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19" w:type="pct"/>
          </w:tcPr>
          <w:p w14:paraId="3F0C561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627131" w14:paraId="3CD3FE15" w14:textId="77777777" w:rsidTr="003D1E31">
        <w:tc>
          <w:tcPr>
            <w:tcW w:w="265" w:type="pct"/>
          </w:tcPr>
          <w:p w14:paraId="1E1FB840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64" w:type="pct"/>
          </w:tcPr>
          <w:p w14:paraId="41EC1E9B" w14:textId="3816B9DC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Systemy teleinformatyczne jak i infrastruktura teleinformatyczna monitorowana jest całodobowa pod kątem bezpieczeństwa</w:t>
            </w:r>
          </w:p>
        </w:tc>
        <w:tc>
          <w:tcPr>
            <w:tcW w:w="652" w:type="pct"/>
          </w:tcPr>
          <w:p w14:paraId="1A5EF25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478462E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7D8E2C84" w14:textId="77777777" w:rsidTr="003D1E31">
        <w:tc>
          <w:tcPr>
            <w:tcW w:w="265" w:type="pct"/>
          </w:tcPr>
          <w:p w14:paraId="2BC7394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64" w:type="pct"/>
          </w:tcPr>
          <w:p w14:paraId="14EC5359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Przygotowano i przetestowano indywidualne procedury reagowania na incydenty bezpieczeństwa dla najbardziej powszechnych i najczęściej pojawiających się zdarzeń</w:t>
            </w:r>
          </w:p>
        </w:tc>
        <w:tc>
          <w:tcPr>
            <w:tcW w:w="652" w:type="pct"/>
          </w:tcPr>
          <w:p w14:paraId="494643E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27A845E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5C2B9EFB" w14:textId="77777777" w:rsidTr="003D1E31">
        <w:tc>
          <w:tcPr>
            <w:tcW w:w="265" w:type="pct"/>
          </w:tcPr>
          <w:p w14:paraId="524ECB5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64" w:type="pct"/>
          </w:tcPr>
          <w:p w14:paraId="33DBF7DD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Utrzymywany jest centralny system klasy SIEM lub system centralnej kolekcji zdarzeń/logów gromadzący istotne z punktu widzenia zdarzenia bezpieczeństwa z infrastruktury teleinformatycznej oraz aplikacji i systemów,</w:t>
            </w:r>
          </w:p>
        </w:tc>
        <w:tc>
          <w:tcPr>
            <w:tcW w:w="652" w:type="pct"/>
          </w:tcPr>
          <w:p w14:paraId="18C0ADA8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32D2CDB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21904F84" w14:textId="77777777" w:rsidTr="003D1E31">
        <w:tc>
          <w:tcPr>
            <w:tcW w:w="265" w:type="pct"/>
          </w:tcPr>
          <w:p w14:paraId="107EDC6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64" w:type="pct"/>
          </w:tcPr>
          <w:p w14:paraId="6DDB01E2" w14:textId="7FE9F745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Kluczowe aplikacje, systemy oraz infrastruktura teleinformatyczna testowana jest pod kątem bezpieczeństwa</w:t>
            </w:r>
          </w:p>
        </w:tc>
        <w:tc>
          <w:tcPr>
            <w:tcW w:w="652" w:type="pct"/>
          </w:tcPr>
          <w:p w14:paraId="05E4357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1EE3BB2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351120" w:rsidRPr="00627131" w14:paraId="4F0DCCE2" w14:textId="77777777" w:rsidTr="003D1E31">
        <w:tc>
          <w:tcPr>
            <w:tcW w:w="265" w:type="pct"/>
          </w:tcPr>
          <w:p w14:paraId="0D72B10B" w14:textId="632E6EE8" w:rsidR="00351120" w:rsidRPr="00BF01AA" w:rsidRDefault="00351120" w:rsidP="00351120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64" w:type="pct"/>
          </w:tcPr>
          <w:p w14:paraId="03FEA9C6" w14:textId="640F22EE" w:rsidR="00351120" w:rsidRPr="00BF01AA" w:rsidRDefault="00351120" w:rsidP="00351120">
            <w:pPr>
              <w:spacing w:beforeAutospacing="1" w:after="100" w:afterAutospacing="1"/>
              <w:rPr>
                <w:rFonts w:ascii="Lato" w:hAnsi="Lato"/>
              </w:rPr>
            </w:pPr>
            <w:r>
              <w:rPr>
                <w:rFonts w:ascii="Lato" w:hAnsi="Lato"/>
              </w:rPr>
              <w:t>Ubezpieczenie od ryzyk</w:t>
            </w:r>
            <w:r w:rsidR="00B21C91">
              <w:rPr>
                <w:rFonts w:ascii="Lato" w:hAnsi="Lato"/>
              </w:rPr>
              <w:t xml:space="preserve"> cybernetycznych</w:t>
            </w:r>
            <w:r>
              <w:rPr>
                <w:rFonts w:ascii="Lato" w:hAnsi="Lato"/>
              </w:rPr>
              <w:t xml:space="preserve"> stosowane jest jako element uzupełniający zarządzania ryzykiem.</w:t>
            </w:r>
          </w:p>
        </w:tc>
        <w:tc>
          <w:tcPr>
            <w:tcW w:w="652" w:type="pct"/>
          </w:tcPr>
          <w:p w14:paraId="5BC3BBF0" w14:textId="77777777" w:rsidR="00351120" w:rsidRPr="00BF01AA" w:rsidRDefault="00351120" w:rsidP="00351120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19" w:type="pct"/>
          </w:tcPr>
          <w:p w14:paraId="7F0DCA10" w14:textId="3316D8EC" w:rsidR="00351120" w:rsidRPr="00BF01AA" w:rsidRDefault="00351120" w:rsidP="00351120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38474E33" w14:textId="77777777" w:rsidR="005D2503" w:rsidRPr="00BF01AA" w:rsidRDefault="005D2503" w:rsidP="005D250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Kryteria akceptacji do oceny przy audycie końcowym w obszarze cyberbezpieczeństwa:</w:t>
      </w:r>
    </w:p>
    <w:p w14:paraId="228FCCCD" w14:textId="5EC790C6" w:rsidR="005D2503" w:rsidRPr="00BF01AA" w:rsidDel="00DD0CBB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 xml:space="preserve">Umowa </w:t>
      </w:r>
      <w:r w:rsidR="00351120">
        <w:rPr>
          <w:rFonts w:ascii="Lato" w:hAnsi="Lato"/>
        </w:rPr>
        <w:t>o</w:t>
      </w:r>
      <w:r w:rsidRPr="00BF01AA" w:rsidDel="00DD0CBB">
        <w:rPr>
          <w:rFonts w:ascii="Lato" w:hAnsi="Lato"/>
        </w:rPr>
        <w:t xml:space="preserve"> świadczenie usług Centrum Operacji Bezpieczeństwa – w zakresie usług SOC.</w:t>
      </w:r>
    </w:p>
    <w:p w14:paraId="01B098E3" w14:textId="77777777" w:rsidR="005D2503" w:rsidRPr="00BF01AA" w:rsidDel="00DD0CBB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>Wykaz przygotowanych Scenariuszy Reakcji dla zidentyfikowanych zagrożeń – w zakresie usługi przygotowania i wdrożenia scenariuszy.</w:t>
      </w:r>
    </w:p>
    <w:p w14:paraId="6EE5E9B8" w14:textId="0819DFEE" w:rsidR="005D2503" w:rsidRPr="00BF01AA" w:rsidDel="00DD0CBB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 xml:space="preserve">Umowa </w:t>
      </w:r>
      <w:r w:rsidR="00351120">
        <w:rPr>
          <w:rFonts w:ascii="Lato" w:hAnsi="Lato"/>
        </w:rPr>
        <w:t>o</w:t>
      </w:r>
      <w:r w:rsidRPr="00BF01AA" w:rsidDel="00DD0CBB">
        <w:rPr>
          <w:rFonts w:ascii="Lato" w:hAnsi="Lato"/>
        </w:rPr>
        <w:t xml:space="preserve"> świadczenie usług udostępniania i zarządzania systemem SIEM – w zakresie tego systemu.</w:t>
      </w:r>
    </w:p>
    <w:p w14:paraId="05442CF7" w14:textId="3CBBD00E" w:rsidR="005D2503" w:rsidRPr="00BF01AA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 w:rsidDel="00DD0CBB">
        <w:rPr>
          <w:rFonts w:ascii="Lato" w:hAnsi="Lato"/>
        </w:rPr>
        <w:t xml:space="preserve">Umowa </w:t>
      </w:r>
      <w:r w:rsidR="00351120">
        <w:rPr>
          <w:rFonts w:ascii="Lato" w:hAnsi="Lato"/>
        </w:rPr>
        <w:t>o</w:t>
      </w:r>
      <w:r w:rsidRPr="00BF01AA" w:rsidDel="00DD0CBB">
        <w:rPr>
          <w:rFonts w:ascii="Lato" w:hAnsi="Lato"/>
        </w:rPr>
        <w:t xml:space="preserve"> świadczenie usług testów bezpieczeństwa – w zakresie usług testów.</w:t>
      </w:r>
    </w:p>
    <w:p w14:paraId="237DA02D" w14:textId="77777777" w:rsidR="005D2503" w:rsidRPr="00BF01AA" w:rsidRDefault="005D2503" w:rsidP="005D2503">
      <w:pPr>
        <w:pStyle w:val="Akapitzlist"/>
        <w:numPr>
          <w:ilvl w:val="0"/>
          <w:numId w:val="3"/>
        </w:numPr>
        <w:spacing w:beforeAutospacing="1" w:after="100" w:afterAutospacing="1" w:line="278" w:lineRule="auto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t>Uwierzytelnienie i autoryzacja do systemów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72"/>
        <w:gridCol w:w="5939"/>
        <w:gridCol w:w="1189"/>
        <w:gridCol w:w="1463"/>
      </w:tblGrid>
      <w:tr w:rsidR="005D2503" w:rsidRPr="00627131" w14:paraId="7CA6F130" w14:textId="77777777" w:rsidTr="007A6FCE">
        <w:trPr>
          <w:tblHeader/>
        </w:trPr>
        <w:tc>
          <w:tcPr>
            <w:tcW w:w="260" w:type="pct"/>
          </w:tcPr>
          <w:p w14:paraId="2576AAC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276" w:type="pct"/>
          </w:tcPr>
          <w:p w14:paraId="5482524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Nazwa kryterium</w:t>
            </w:r>
          </w:p>
        </w:tc>
        <w:tc>
          <w:tcPr>
            <w:tcW w:w="656" w:type="pct"/>
          </w:tcPr>
          <w:p w14:paraId="269A902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spełnione?</w:t>
            </w:r>
          </w:p>
          <w:p w14:paraId="1298403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(Tak / Nie)</w:t>
            </w:r>
          </w:p>
        </w:tc>
        <w:tc>
          <w:tcPr>
            <w:tcW w:w="807" w:type="pct"/>
          </w:tcPr>
          <w:p w14:paraId="75E566D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Czy obligatoryjne?</w:t>
            </w:r>
          </w:p>
        </w:tc>
      </w:tr>
      <w:tr w:rsidR="005D2503" w:rsidRPr="00627131" w14:paraId="38B051FF" w14:textId="77777777" w:rsidTr="003D1E31">
        <w:tc>
          <w:tcPr>
            <w:tcW w:w="260" w:type="pct"/>
          </w:tcPr>
          <w:p w14:paraId="2B7FA95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1.</w:t>
            </w:r>
          </w:p>
        </w:tc>
        <w:tc>
          <w:tcPr>
            <w:tcW w:w="3276" w:type="pct"/>
          </w:tcPr>
          <w:p w14:paraId="5B91100D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Wszystkie krytyczne systemy w organizacji wymagają użycia drugiego składnika uwierzytelniania lub uwierzytelniania bezhasłowego.</w:t>
            </w:r>
          </w:p>
        </w:tc>
        <w:tc>
          <w:tcPr>
            <w:tcW w:w="656" w:type="pct"/>
          </w:tcPr>
          <w:p w14:paraId="6721B68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1365851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4541D989" w14:textId="77777777" w:rsidTr="003D1E31">
        <w:tc>
          <w:tcPr>
            <w:tcW w:w="260" w:type="pct"/>
          </w:tcPr>
          <w:p w14:paraId="5F4680C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2.</w:t>
            </w:r>
          </w:p>
        </w:tc>
        <w:tc>
          <w:tcPr>
            <w:tcW w:w="3276" w:type="pct"/>
          </w:tcPr>
          <w:p w14:paraId="2EC6FD4E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Każda osoba w organizacji ma obowiązek korzystania z drugiego składnika uwierzytelniania lub uwierzytelniania bezhasłowego (jeżeli jest dostępny).</w:t>
            </w:r>
          </w:p>
        </w:tc>
        <w:tc>
          <w:tcPr>
            <w:tcW w:w="656" w:type="pct"/>
          </w:tcPr>
          <w:p w14:paraId="22F056D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7940C7E7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68300588" w14:textId="77777777" w:rsidTr="003D1E31">
        <w:tc>
          <w:tcPr>
            <w:tcW w:w="260" w:type="pct"/>
          </w:tcPr>
          <w:p w14:paraId="0A4336E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3.</w:t>
            </w:r>
          </w:p>
        </w:tc>
        <w:tc>
          <w:tcPr>
            <w:tcW w:w="3276" w:type="pct"/>
          </w:tcPr>
          <w:p w14:paraId="4F9E4FD3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 przypadku wykorzystywania systemu pojedynczego logowania dla dostępu do systemów i aplikacji, uwierzytelnienie użytkownika odbywa się z wykorzystaniem metod wieloskładnikowych lub uwierzytelniania bezhasłowego.</w:t>
            </w:r>
          </w:p>
        </w:tc>
        <w:tc>
          <w:tcPr>
            <w:tcW w:w="656" w:type="pct"/>
          </w:tcPr>
          <w:p w14:paraId="076940E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6BEC6D75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3920A81E" w14:textId="77777777" w:rsidTr="003D1E31">
        <w:tc>
          <w:tcPr>
            <w:tcW w:w="260" w:type="pct"/>
          </w:tcPr>
          <w:p w14:paraId="15511F2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4.</w:t>
            </w:r>
          </w:p>
        </w:tc>
        <w:tc>
          <w:tcPr>
            <w:tcW w:w="3276" w:type="pct"/>
          </w:tcPr>
          <w:p w14:paraId="6423FDF7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Wyłączono możliwość używania SMS-ów jako metody uwierzytelniania.</w:t>
            </w:r>
          </w:p>
        </w:tc>
        <w:tc>
          <w:tcPr>
            <w:tcW w:w="656" w:type="pct"/>
          </w:tcPr>
          <w:p w14:paraId="53D2E9C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5D5FA3ED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3F48FF3E" w14:textId="77777777" w:rsidTr="003D1E31">
        <w:tc>
          <w:tcPr>
            <w:tcW w:w="260" w:type="pct"/>
          </w:tcPr>
          <w:p w14:paraId="34DE6BC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5.</w:t>
            </w:r>
          </w:p>
        </w:tc>
        <w:tc>
          <w:tcPr>
            <w:tcW w:w="3276" w:type="pct"/>
          </w:tcPr>
          <w:p w14:paraId="53D89152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Uwierzytelnianie do krytycznych systemów i aplikacji w organizacji jest zgodne ze standardem FIDO2.</w:t>
            </w:r>
          </w:p>
        </w:tc>
        <w:tc>
          <w:tcPr>
            <w:tcW w:w="656" w:type="pct"/>
          </w:tcPr>
          <w:p w14:paraId="364BD832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16B1D51A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6A3932D8" w14:textId="77777777" w:rsidTr="003D1E31">
        <w:tc>
          <w:tcPr>
            <w:tcW w:w="260" w:type="pct"/>
          </w:tcPr>
          <w:p w14:paraId="6E74BB39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6.</w:t>
            </w:r>
          </w:p>
        </w:tc>
        <w:tc>
          <w:tcPr>
            <w:tcW w:w="3276" w:type="pct"/>
          </w:tcPr>
          <w:p w14:paraId="0F3F6169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Wszystkie połączenia zdalne wymagają wieloskładnikowego uwierzytelniania.</w:t>
            </w:r>
          </w:p>
        </w:tc>
        <w:tc>
          <w:tcPr>
            <w:tcW w:w="656" w:type="pct"/>
          </w:tcPr>
          <w:p w14:paraId="0D88BB9C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51920791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  <w:tr w:rsidR="005D2503" w:rsidRPr="00627131" w14:paraId="0E2A8013" w14:textId="77777777" w:rsidTr="003D1E31">
        <w:tc>
          <w:tcPr>
            <w:tcW w:w="260" w:type="pct"/>
          </w:tcPr>
          <w:p w14:paraId="2F607B43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7.</w:t>
            </w:r>
          </w:p>
        </w:tc>
        <w:tc>
          <w:tcPr>
            <w:tcW w:w="3276" w:type="pct"/>
          </w:tcPr>
          <w:p w14:paraId="2365774F" w14:textId="77777777" w:rsidR="005D2503" w:rsidRPr="00BF01AA" w:rsidRDefault="005D2503" w:rsidP="003D1E31">
            <w:pPr>
              <w:spacing w:beforeAutospacing="1" w:after="100" w:afterAutospacing="1"/>
              <w:rPr>
                <w:rFonts w:ascii="Lato" w:hAnsi="Lato"/>
              </w:rPr>
            </w:pPr>
            <w:r w:rsidRPr="00BF01AA">
              <w:rPr>
                <w:rFonts w:ascii="Lato" w:hAnsi="Lato"/>
              </w:rPr>
              <w:t>Uwierzytelnianie użytkownika uwzględnia jego kontekst np. urządzenie z którego następuje logowanie.</w:t>
            </w:r>
          </w:p>
        </w:tc>
        <w:tc>
          <w:tcPr>
            <w:tcW w:w="656" w:type="pct"/>
          </w:tcPr>
          <w:p w14:paraId="069ECD7F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</w:p>
        </w:tc>
        <w:tc>
          <w:tcPr>
            <w:tcW w:w="807" w:type="pct"/>
          </w:tcPr>
          <w:p w14:paraId="153E32AB" w14:textId="77777777" w:rsidR="005D2503" w:rsidRPr="00BF01AA" w:rsidRDefault="005D2503" w:rsidP="003D1E31">
            <w:pPr>
              <w:pStyle w:val="Akapitzlist"/>
              <w:spacing w:beforeAutospacing="1" w:after="100" w:afterAutospacing="1"/>
              <w:ind w:left="0"/>
              <w:rPr>
                <w:rFonts w:ascii="Lato" w:hAnsi="Lato"/>
                <w:b/>
                <w:bCs/>
              </w:rPr>
            </w:pPr>
            <w:r w:rsidRPr="00BF01AA">
              <w:rPr>
                <w:rFonts w:ascii="Lato" w:hAnsi="Lato"/>
                <w:b/>
                <w:bCs/>
              </w:rPr>
              <w:t>Nie</w:t>
            </w:r>
          </w:p>
        </w:tc>
      </w:tr>
    </w:tbl>
    <w:p w14:paraId="0F8003FD" w14:textId="77777777" w:rsidR="005D2503" w:rsidRPr="00BF01AA" w:rsidRDefault="005D2503" w:rsidP="005D2503">
      <w:pPr>
        <w:keepNext/>
        <w:keepLines/>
        <w:spacing w:beforeAutospacing="1" w:after="100" w:afterAutospacing="1"/>
        <w:rPr>
          <w:rFonts w:ascii="Lato" w:hAnsi="Lato"/>
          <w:b/>
          <w:bCs/>
        </w:rPr>
      </w:pPr>
      <w:r w:rsidRPr="00BF01AA">
        <w:rPr>
          <w:rFonts w:ascii="Lato" w:hAnsi="Lato"/>
          <w:b/>
          <w:bCs/>
        </w:rPr>
        <w:lastRenderedPageBreak/>
        <w:t>Kryteria akceptacji do oceny przy audycie końcowym w obszarze cyberbezpieczeństwa:</w:t>
      </w:r>
    </w:p>
    <w:p w14:paraId="3D25C565" w14:textId="77777777" w:rsidR="005D2503" w:rsidRPr="00BF01AA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Dokumentacja powykonawcza wdrożonych rozwiązań uwierzytelniających wraz z zabezpieczeniami – dla zakupu urządzeń i oprogramowania oraz usług wdrożeniowych.</w:t>
      </w:r>
    </w:p>
    <w:p w14:paraId="6D128E47" w14:textId="77777777" w:rsidR="005D2503" w:rsidRPr="00BF01AA" w:rsidRDefault="005D2503" w:rsidP="005D2503">
      <w:pPr>
        <w:numPr>
          <w:ilvl w:val="0"/>
          <w:numId w:val="1"/>
        </w:numPr>
        <w:spacing w:beforeAutospacing="1" w:after="100" w:afterAutospacing="1" w:line="278" w:lineRule="auto"/>
        <w:jc w:val="both"/>
        <w:rPr>
          <w:rFonts w:ascii="Lato" w:hAnsi="Lato"/>
        </w:rPr>
      </w:pPr>
      <w:r w:rsidRPr="00BF01AA">
        <w:rPr>
          <w:rFonts w:ascii="Lato" w:hAnsi="Lato"/>
        </w:rPr>
        <w:t>Potwierdzenie uczestnictwa w szkoleniach – dla usług szkoleniowych.</w:t>
      </w:r>
    </w:p>
    <w:p w14:paraId="42F0F7FE" w14:textId="77777777" w:rsidR="00BE519A" w:rsidRPr="00F30E39" w:rsidRDefault="00BE519A">
      <w:pPr>
        <w:rPr>
          <w:rFonts w:ascii="Lato" w:hAnsi="Lato"/>
        </w:rPr>
      </w:pPr>
    </w:p>
    <w:sectPr w:rsidR="00BE519A" w:rsidRPr="00F30E39" w:rsidSect="00A3066B">
      <w:headerReference w:type="first" r:id="rId7"/>
      <w:pgSz w:w="11907" w:h="16840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97AE5" w14:textId="77777777" w:rsidR="00AB4B39" w:rsidRDefault="00AB4B39" w:rsidP="00A3066B">
      <w:pPr>
        <w:spacing w:before="0" w:after="0" w:line="240" w:lineRule="auto"/>
      </w:pPr>
      <w:r>
        <w:separator/>
      </w:r>
    </w:p>
  </w:endnote>
  <w:endnote w:type="continuationSeparator" w:id="0">
    <w:p w14:paraId="2F39F880" w14:textId="77777777" w:rsidR="00AB4B39" w:rsidRDefault="00AB4B39" w:rsidP="00A3066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F88C2" w14:textId="77777777" w:rsidR="00AB4B39" w:rsidRDefault="00AB4B39" w:rsidP="00A3066B">
      <w:pPr>
        <w:spacing w:before="0" w:after="0" w:line="240" w:lineRule="auto"/>
      </w:pPr>
      <w:r>
        <w:separator/>
      </w:r>
    </w:p>
  </w:footnote>
  <w:footnote w:type="continuationSeparator" w:id="0">
    <w:p w14:paraId="0DECD53D" w14:textId="77777777" w:rsidR="00AB4B39" w:rsidRDefault="00AB4B39" w:rsidP="00A3066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C744" w14:textId="4CB8EABC" w:rsidR="00A3066B" w:rsidRDefault="00A3066B">
    <w:pPr>
      <w:pStyle w:val="Nagwek"/>
    </w:pPr>
    <w:r>
      <w:rPr>
        <w:noProof/>
      </w:rPr>
      <w:drawing>
        <wp:inline distT="0" distB="0" distL="0" distR="0" wp14:anchorId="1C775AA0" wp14:editId="2847273C">
          <wp:extent cx="5761355" cy="572770"/>
          <wp:effectExtent l="0" t="0" r="0" b="0"/>
          <wp:docPr id="1767198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5C9B"/>
    <w:multiLevelType w:val="hybridMultilevel"/>
    <w:tmpl w:val="C45E0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1B5"/>
    <w:multiLevelType w:val="hybridMultilevel"/>
    <w:tmpl w:val="8A660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C0B81"/>
    <w:multiLevelType w:val="hybridMultilevel"/>
    <w:tmpl w:val="04EC3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D2A61"/>
    <w:multiLevelType w:val="hybridMultilevel"/>
    <w:tmpl w:val="E3FCD5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992BCE"/>
    <w:multiLevelType w:val="hybridMultilevel"/>
    <w:tmpl w:val="55D43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25327"/>
    <w:multiLevelType w:val="hybridMultilevel"/>
    <w:tmpl w:val="D916DA6C"/>
    <w:lvl w:ilvl="0" w:tplc="D784A0C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256298">
    <w:abstractNumId w:val="3"/>
  </w:num>
  <w:num w:numId="2" w16cid:durableId="1110585065">
    <w:abstractNumId w:val="1"/>
  </w:num>
  <w:num w:numId="3" w16cid:durableId="1846355476">
    <w:abstractNumId w:val="5"/>
  </w:num>
  <w:num w:numId="4" w16cid:durableId="1330524847">
    <w:abstractNumId w:val="2"/>
  </w:num>
  <w:num w:numId="5" w16cid:durableId="1325008119">
    <w:abstractNumId w:val="4"/>
  </w:num>
  <w:num w:numId="6" w16cid:durableId="682903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03"/>
    <w:rsid w:val="00037ABC"/>
    <w:rsid w:val="0009729E"/>
    <w:rsid w:val="00133567"/>
    <w:rsid w:val="001C0749"/>
    <w:rsid w:val="002E2A74"/>
    <w:rsid w:val="00315983"/>
    <w:rsid w:val="00351120"/>
    <w:rsid w:val="0040011E"/>
    <w:rsid w:val="00432336"/>
    <w:rsid w:val="004A2DD1"/>
    <w:rsid w:val="004D291F"/>
    <w:rsid w:val="00504102"/>
    <w:rsid w:val="0059024C"/>
    <w:rsid w:val="005D2503"/>
    <w:rsid w:val="00600491"/>
    <w:rsid w:val="007045D2"/>
    <w:rsid w:val="0070686C"/>
    <w:rsid w:val="007810EA"/>
    <w:rsid w:val="007A6FCE"/>
    <w:rsid w:val="007B72BC"/>
    <w:rsid w:val="00802C4D"/>
    <w:rsid w:val="008201D4"/>
    <w:rsid w:val="00826C22"/>
    <w:rsid w:val="008C2B03"/>
    <w:rsid w:val="008C40A9"/>
    <w:rsid w:val="009439D9"/>
    <w:rsid w:val="009C35BA"/>
    <w:rsid w:val="00A2476C"/>
    <w:rsid w:val="00A25491"/>
    <w:rsid w:val="00A3066B"/>
    <w:rsid w:val="00AA5E03"/>
    <w:rsid w:val="00AB4B39"/>
    <w:rsid w:val="00B21C91"/>
    <w:rsid w:val="00BA73C4"/>
    <w:rsid w:val="00BE519A"/>
    <w:rsid w:val="00C05ECA"/>
    <w:rsid w:val="00C169F4"/>
    <w:rsid w:val="00C762F0"/>
    <w:rsid w:val="00DD35D1"/>
    <w:rsid w:val="00E03BFB"/>
    <w:rsid w:val="00EB4602"/>
    <w:rsid w:val="00ED73A5"/>
    <w:rsid w:val="00F30E39"/>
    <w:rsid w:val="00F36568"/>
    <w:rsid w:val="00F5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EE9F1"/>
  <w15:chartTrackingRefBased/>
  <w15:docId w15:val="{8E018EA8-B419-4B67-BE48-142D6F80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503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2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2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2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2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2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25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25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25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25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D2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5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5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5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5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5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5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2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25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2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2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2503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4,CW_Lista,Podsis rysunku,Akapit z listą numerowaną"/>
    <w:basedOn w:val="Normalny"/>
    <w:link w:val="AkapitzlistZnak"/>
    <w:uiPriority w:val="34"/>
    <w:qFormat/>
    <w:rsid w:val="005D25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25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2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25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250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D2503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4 Znak,CW_Lista Znak,Podsis rysunku Znak,Akapit z listą numerowaną Znak"/>
    <w:basedOn w:val="Domylnaczcionkaakapitu"/>
    <w:link w:val="Akapitzlist"/>
    <w:uiPriority w:val="34"/>
    <w:qFormat/>
    <w:locked/>
    <w:rsid w:val="005D2503"/>
  </w:style>
  <w:style w:type="paragraph" w:styleId="Nagwek">
    <w:name w:val="header"/>
    <w:basedOn w:val="Normalny"/>
    <w:link w:val="NagwekZnak"/>
    <w:uiPriority w:val="99"/>
    <w:unhideWhenUsed/>
    <w:rsid w:val="00A306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66B"/>
    <w:rPr>
      <w:rFonts w:eastAsiaTheme="minorEastAsia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06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66B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2099</Words>
  <Characters>12595</Characters>
  <Application>Microsoft Office Word</Application>
  <DocSecurity>0</DocSecurity>
  <Lines>104</Lines>
  <Paragraphs>29</Paragraphs>
  <ScaleCrop>false</ScaleCrop>
  <Company/>
  <LinksUpToDate>false</LinksUpToDate>
  <CharactersWithSpaces>14665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Walczyk Agnieszka</dc:creator>
  <cp:keywords/>
  <dc:description/>
  <cp:lastModifiedBy>Pawłowska Agnieszka</cp:lastModifiedBy>
  <cp:revision>18</cp:revision>
  <dcterms:created xsi:type="dcterms:W3CDTF">2025-04-01T10:02:00Z</dcterms:created>
  <dcterms:modified xsi:type="dcterms:W3CDTF">2025-04-11T04:22:00Z</dcterms:modified>
</cp:coreProperties>
</file>